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sz w:val="36"/>
          <w:szCs w:val="36"/>
          <w:lang w:val="en" w:eastAsia="zh-CN"/>
        </w:rPr>
      </w:pPr>
      <w:bookmarkStart w:id="0" w:name="_GoBack"/>
      <w:bookmarkEnd w:id="0"/>
      <w:r>
        <w:rPr>
          <w:rFonts w:hint="eastAsia" w:ascii="方正小标宋简体" w:eastAsia="方正小标宋简体"/>
          <w:sz w:val="36"/>
          <w:szCs w:val="36"/>
          <w:lang w:val="en" w:eastAsia="zh-CN"/>
        </w:rPr>
        <w:t>附件</w:t>
      </w:r>
    </w:p>
    <w:p>
      <w:pPr>
        <w:jc w:val="center"/>
        <w:rPr>
          <w:rFonts w:ascii="方正小标宋简体" w:eastAsia="方正小标宋简体"/>
          <w:sz w:val="36"/>
          <w:szCs w:val="36"/>
        </w:rPr>
      </w:pPr>
      <w:r>
        <w:rPr>
          <w:rFonts w:hint="eastAsia" w:ascii="方正小标宋简体" w:eastAsia="方正小标宋简体"/>
          <w:sz w:val="36"/>
          <w:szCs w:val="36"/>
        </w:rPr>
        <w:t>关于“未按照相关规定填写并运行接收、转运及处置联单”的行政处罚裁量基准</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7"/>
        <w:gridCol w:w="610"/>
        <w:gridCol w:w="839"/>
        <w:gridCol w:w="850"/>
        <w:gridCol w:w="475"/>
        <w:gridCol w:w="864"/>
        <w:gridCol w:w="613"/>
        <w:gridCol w:w="602"/>
        <w:gridCol w:w="1866"/>
        <w:gridCol w:w="1880"/>
        <w:gridCol w:w="610"/>
        <w:gridCol w:w="1136"/>
        <w:gridCol w:w="752"/>
        <w:gridCol w:w="632"/>
        <w:gridCol w:w="1279"/>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blHeader/>
        </w:trPr>
        <w:tc>
          <w:tcPr>
            <w:tcW w:w="3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宋体" w:hAnsi="宋体" w:eastAsia="宋体" w:cs="宋体"/>
                <w:b/>
                <w:color w:val="000000"/>
                <w:kern w:val="0"/>
                <w:sz w:val="20"/>
                <w:szCs w:val="20"/>
                <w:lang w:bidi="ar"/>
              </w:rPr>
              <w:t>序号</w:t>
            </w:r>
          </w:p>
        </w:tc>
        <w:tc>
          <w:tcPr>
            <w:tcW w:w="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业务类型</w:t>
            </w:r>
          </w:p>
        </w:tc>
        <w:tc>
          <w:tcPr>
            <w:tcW w:w="8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权力编码</w:t>
            </w:r>
          </w:p>
        </w:tc>
        <w:tc>
          <w:tcPr>
            <w:tcW w:w="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事项名称</w:t>
            </w:r>
          </w:p>
        </w:tc>
        <w:tc>
          <w:tcPr>
            <w:tcW w:w="4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违法行为代码</w:t>
            </w:r>
          </w:p>
        </w:tc>
        <w:tc>
          <w:tcPr>
            <w:tcW w:w="8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违法行为名称</w:t>
            </w:r>
          </w:p>
        </w:tc>
        <w:tc>
          <w:tcPr>
            <w:tcW w:w="6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实施机关</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业务类别</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违反法律条款</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处罚法律条款</w:t>
            </w:r>
          </w:p>
        </w:tc>
        <w:tc>
          <w:tcPr>
            <w:tcW w:w="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违法程度</w:t>
            </w:r>
          </w:p>
        </w:tc>
        <w:tc>
          <w:tcPr>
            <w:tcW w:w="11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违法情形</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处罚对象</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处罚种类</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kern w:val="0"/>
                <w:sz w:val="20"/>
              </w:rPr>
              <w:t>裁量基准</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eastAsia="黑体" w:cs="黑体"/>
                <w:b/>
                <w:sz w:val="20"/>
              </w:rPr>
            </w:pPr>
            <w:r>
              <w:rPr>
                <w:rFonts w:hint="eastAsia" w:ascii="黑体" w:eastAsia="黑体" w:cs="黑体"/>
                <w:b/>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5" w:hRule="atLeast"/>
        </w:trPr>
        <w:tc>
          <w:tcPr>
            <w:tcW w:w="37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sz w:val="20"/>
              </w:rPr>
            </w:pPr>
            <w:r>
              <w:rPr>
                <w:rFonts w:hint="eastAsia" w:ascii="仿宋_GB2312" w:hAnsi="宋体" w:eastAsia="仿宋_GB2312" w:cs="仿宋_GB2312"/>
                <w:color w:val="000000"/>
                <w:kern w:val="0"/>
                <w:sz w:val="20"/>
                <w:szCs w:val="20"/>
                <w:lang w:bidi="ar"/>
              </w:rPr>
              <w:t>1</w:t>
            </w:r>
          </w:p>
        </w:tc>
        <w:tc>
          <w:tcPr>
            <w:tcW w:w="60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sz w:val="20"/>
              </w:rPr>
            </w:pPr>
            <w:r>
              <w:rPr>
                <w:rFonts w:hint="eastAsia" w:ascii="仿宋_GB2312" w:cs="仿宋_GB2312"/>
                <w:bCs/>
                <w:kern w:val="0"/>
                <w:sz w:val="20"/>
              </w:rPr>
              <w:t>港口</w:t>
            </w:r>
          </w:p>
        </w:tc>
        <w:tc>
          <w:tcPr>
            <w:tcW w:w="83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sz w:val="20"/>
              </w:rPr>
            </w:pPr>
            <w:r>
              <w:rPr>
                <w:rFonts w:ascii="仿宋_GB2312" w:cs="仿宋_GB2312"/>
                <w:bCs/>
                <w:kern w:val="0"/>
                <w:sz w:val="20"/>
              </w:rPr>
              <w:t>330218754000</w:t>
            </w:r>
          </w:p>
        </w:tc>
        <w:tc>
          <w:tcPr>
            <w:tcW w:w="8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bCs/>
                <w:sz w:val="20"/>
              </w:rPr>
            </w:pPr>
            <w:r>
              <w:rPr>
                <w:rFonts w:hint="eastAsia" w:ascii="仿宋_GB2312" w:cs="仿宋_GB2312"/>
                <w:bCs/>
                <w:kern w:val="0"/>
                <w:sz w:val="20"/>
              </w:rPr>
              <w:t>（舟山）未按照相关规定填写并运行接收、转运及处置联单的处罚</w:t>
            </w:r>
          </w:p>
        </w:tc>
        <w:tc>
          <w:tcPr>
            <w:tcW w:w="47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sz w:val="20"/>
              </w:rPr>
            </w:pPr>
            <w:r>
              <w:rPr>
                <w:rFonts w:ascii="仿宋_GB2312" w:cs="仿宋_GB2312"/>
                <w:bCs/>
                <w:sz w:val="20"/>
              </w:rPr>
              <w:t>509150</w:t>
            </w:r>
          </w:p>
        </w:tc>
        <w:tc>
          <w:tcPr>
            <w:tcW w:w="862"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bCs/>
                <w:sz w:val="20"/>
              </w:rPr>
            </w:pPr>
            <w:r>
              <w:rPr>
                <w:rFonts w:hint="eastAsia" w:ascii="仿宋_GB2312" w:cs="仿宋_GB2312"/>
                <w:bCs/>
                <w:kern w:val="0"/>
                <w:sz w:val="20"/>
              </w:rPr>
              <w:t>未按照相关规定填写并运行接收、转运及处置联单</w:t>
            </w:r>
          </w:p>
        </w:tc>
        <w:tc>
          <w:tcPr>
            <w:tcW w:w="61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舟山市港航和口岸管理局</w:t>
            </w:r>
          </w:p>
        </w:tc>
        <w:tc>
          <w:tcPr>
            <w:tcW w:w="6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kern w:val="0"/>
                <w:sz w:val="20"/>
              </w:rPr>
              <w:t>其他违法行为</w:t>
            </w:r>
          </w:p>
        </w:tc>
        <w:tc>
          <w:tcPr>
            <w:tcW w:w="186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bCs/>
                <w:kern w:val="0"/>
                <w:sz w:val="20"/>
              </w:rPr>
            </w:pPr>
            <w:r>
              <w:rPr>
                <w:rFonts w:hint="eastAsia" w:ascii="仿宋_GB2312" w:cs="仿宋_GB2312"/>
                <w:bCs/>
                <w:kern w:val="0"/>
                <w:sz w:val="20"/>
              </w:rPr>
              <w:t>《舟山市港口船舶污染物管理条例》第二十条第一款、第二款、第三款和第五款</w:t>
            </w:r>
            <w:r>
              <w:rPr>
                <w:rFonts w:ascii="仿宋_GB2312" w:cs="仿宋_GB2312"/>
                <w:bCs/>
                <w:kern w:val="0"/>
                <w:sz w:val="20"/>
              </w:rPr>
              <w:t xml:space="preserve">  船舶污染物的接收、运输、处置各环节之间的交接应当按照相关规定填写并运行接收联单、转运及处置科技创新促进联单；属于危险废物的，应当另行填写危险废物转移联单。</w:t>
            </w:r>
          </w:p>
          <w:p>
            <w:pPr>
              <w:widowControl/>
              <w:ind w:firstLine="400" w:firstLineChars="200"/>
              <w:textAlignment w:val="center"/>
              <w:rPr>
                <w:rFonts w:ascii="仿宋_GB2312" w:cs="仿宋_GB2312"/>
                <w:bCs/>
                <w:kern w:val="0"/>
                <w:sz w:val="20"/>
              </w:rPr>
            </w:pPr>
            <w:r>
              <w:rPr>
                <w:rFonts w:hint="eastAsia" w:ascii="仿宋_GB2312" w:cs="仿宋_GB2312"/>
                <w:bCs/>
                <w:kern w:val="0"/>
                <w:sz w:val="20"/>
              </w:rPr>
              <w:t>船舶污染物接收联单由接收单位按照联单格式填写作业双方单位名称、作业开始和结束的时间、地点以及船舶污染物种类、数量等内容并经被接收船舶确认。</w:t>
            </w:r>
          </w:p>
          <w:p>
            <w:pPr>
              <w:widowControl/>
              <w:ind w:firstLine="400" w:firstLineChars="200"/>
              <w:textAlignment w:val="center"/>
              <w:rPr>
                <w:rFonts w:ascii="仿宋_GB2312" w:cs="仿宋_GB2312"/>
                <w:bCs/>
                <w:kern w:val="0"/>
                <w:sz w:val="20"/>
              </w:rPr>
            </w:pPr>
            <w:r>
              <w:rPr>
                <w:rFonts w:hint="eastAsia" w:ascii="仿宋_GB2312" w:cs="仿宋_GB2312"/>
                <w:bCs/>
                <w:kern w:val="0"/>
                <w:sz w:val="20"/>
              </w:rPr>
              <w:t>船舶污染物转运及处置联单由接收单位按照联单格式填写转运相关信息，并经污染物运输单位确认。转运的污染物应当标明来源，填写污染物接收时签发的接收联单编号。处置单位在收到接收单位转运的污染物时，应当核实污染物的种类与数量，按照联单格式填写相关信息并确认。</w:t>
            </w:r>
          </w:p>
          <w:p>
            <w:pPr>
              <w:widowControl/>
              <w:ind w:firstLine="400" w:firstLineChars="200"/>
              <w:textAlignment w:val="center"/>
              <w:rPr>
                <w:rFonts w:ascii="仿宋_GB2312" w:cs="仿宋_GB2312"/>
                <w:bCs/>
                <w:kern w:val="0"/>
                <w:sz w:val="20"/>
              </w:rPr>
            </w:pPr>
            <w:r>
              <w:rPr>
                <w:rFonts w:ascii="仿宋_GB2312" w:cs="仿宋_GB2312"/>
                <w:bCs/>
                <w:kern w:val="0"/>
                <w:sz w:val="20"/>
              </w:rPr>
              <w:t>联单的具体管理办法由市人民政府制定。</w:t>
            </w:r>
          </w:p>
        </w:tc>
        <w:tc>
          <w:tcPr>
            <w:tcW w:w="187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bCs/>
                <w:kern w:val="0"/>
                <w:sz w:val="20"/>
              </w:rPr>
            </w:pPr>
            <w:r>
              <w:rPr>
                <w:rFonts w:hint="eastAsia" w:ascii="仿宋_GB2312" w:cs="仿宋_GB2312"/>
                <w:bCs/>
                <w:kern w:val="0"/>
                <w:sz w:val="20"/>
              </w:rPr>
              <w:t>《舟山市港口船舶污染物管理条例》第三十六条第一款</w:t>
            </w:r>
            <w:r>
              <w:rPr>
                <w:rFonts w:ascii="仿宋_GB2312" w:cs="仿宋_GB2312"/>
                <w:bCs/>
                <w:kern w:val="0"/>
                <w:sz w:val="20"/>
              </w:rPr>
              <w:t xml:space="preserve">  违反本条例第二十条规定，未按照相关规定填写并运行接收、转运及处置联单的，对接收单位由港口行政主管部门处二万元以上十万元以下罚款，对水路和道路运输单位分别由港口行政主管部门、交通运输行政主管部门处二万元以上十万元以下罚款，对处置单位由生态环境行政主管部门或者城市管理部门处二万元以上十万元以下罚款。</w:t>
            </w:r>
          </w:p>
        </w:tc>
        <w:tc>
          <w:tcPr>
            <w:tcW w:w="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sz w:val="20"/>
              </w:rPr>
            </w:pPr>
            <w:r>
              <w:rPr>
                <w:rFonts w:hint="eastAsia" w:ascii="仿宋_GB2312" w:cs="仿宋_GB2312"/>
                <w:bCs/>
                <w:sz w:val="20"/>
              </w:rPr>
              <w:t>轻微</w:t>
            </w:r>
          </w:p>
        </w:tc>
        <w:tc>
          <w:tcPr>
            <w:tcW w:w="1133"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已运行处置联单但未如实</w:t>
            </w:r>
            <w:r>
              <w:rPr>
                <w:rFonts w:hint="eastAsia" w:ascii="仿宋_GB2312" w:cs="仿宋_GB2312"/>
                <w:bCs/>
                <w:sz w:val="20"/>
                <w:lang w:eastAsia="zh-CN"/>
              </w:rPr>
              <w:t>填写</w:t>
            </w:r>
            <w:r>
              <w:rPr>
                <w:rFonts w:hint="eastAsia" w:ascii="仿宋_GB2312" w:cs="仿宋_GB2312"/>
                <w:bCs/>
                <w:sz w:val="20"/>
              </w:rPr>
              <w:t>的</w:t>
            </w:r>
          </w:p>
        </w:tc>
        <w:tc>
          <w:tcPr>
            <w:tcW w:w="750" w:type="dxa"/>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接收单位、水路运输单位</w:t>
            </w:r>
          </w:p>
        </w:tc>
        <w:tc>
          <w:tcPr>
            <w:tcW w:w="630" w:type="dxa"/>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罚款</w:t>
            </w:r>
          </w:p>
        </w:tc>
        <w:tc>
          <w:tcPr>
            <w:tcW w:w="127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处二万元罚款</w:t>
            </w:r>
          </w:p>
        </w:tc>
        <w:tc>
          <w:tcPr>
            <w:tcW w:w="6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left"/>
              <w:rPr>
                <w:rFonts w:ascii="仿宋_GB2312" w:cs="仿宋_GB2312"/>
                <w:bCs/>
                <w:sz w:val="20"/>
              </w:rPr>
            </w:pPr>
            <w:r>
              <w:rPr>
                <w:rFonts w:hint="eastAsia" w:ascii="仿宋_GB2312" w:cs="仿宋_GB2312"/>
                <w:bCs/>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5" w:hRule="atLeast"/>
        </w:trPr>
        <w:tc>
          <w:tcPr>
            <w:tcW w:w="37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lang w:bidi="ar"/>
              </w:rPr>
            </w:pPr>
          </w:p>
        </w:tc>
        <w:tc>
          <w:tcPr>
            <w:tcW w:w="60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kern w:val="0"/>
                <w:sz w:val="20"/>
              </w:rPr>
            </w:pPr>
          </w:p>
        </w:tc>
        <w:tc>
          <w:tcPr>
            <w:tcW w:w="83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kern w:val="0"/>
                <w:sz w:val="20"/>
              </w:rPr>
            </w:pPr>
          </w:p>
        </w:tc>
        <w:tc>
          <w:tcPr>
            <w:tcW w:w="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bCs/>
                <w:kern w:val="0"/>
                <w:sz w:val="20"/>
              </w:rPr>
            </w:pPr>
          </w:p>
        </w:tc>
        <w:tc>
          <w:tcPr>
            <w:tcW w:w="47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sz w:val="20"/>
              </w:rPr>
            </w:pPr>
          </w:p>
        </w:tc>
        <w:tc>
          <w:tcPr>
            <w:tcW w:w="86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bCs/>
                <w:kern w:val="0"/>
                <w:sz w:val="20"/>
              </w:rPr>
            </w:pPr>
          </w:p>
        </w:tc>
        <w:tc>
          <w:tcPr>
            <w:tcW w:w="61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p>
        </w:tc>
        <w:tc>
          <w:tcPr>
            <w:tcW w:w="6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kern w:val="0"/>
                <w:sz w:val="20"/>
              </w:rPr>
            </w:pPr>
          </w:p>
        </w:tc>
        <w:tc>
          <w:tcPr>
            <w:tcW w:w="186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bCs/>
                <w:kern w:val="0"/>
                <w:sz w:val="20"/>
              </w:rPr>
            </w:pPr>
          </w:p>
        </w:tc>
        <w:tc>
          <w:tcPr>
            <w:tcW w:w="187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bCs/>
                <w:kern w:val="0"/>
                <w:sz w:val="20"/>
              </w:rPr>
            </w:pPr>
          </w:p>
        </w:tc>
        <w:tc>
          <w:tcPr>
            <w:tcW w:w="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sz w:val="20"/>
              </w:rPr>
            </w:pPr>
            <w:r>
              <w:rPr>
                <w:rFonts w:hint="eastAsia" w:ascii="仿宋_GB2312" w:cs="仿宋_GB2312"/>
                <w:bCs/>
                <w:sz w:val="20"/>
              </w:rPr>
              <w:t>一般</w:t>
            </w:r>
          </w:p>
        </w:tc>
        <w:tc>
          <w:tcPr>
            <w:tcW w:w="1133" w:type="dxa"/>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未运行处置联单，未发生安全生产责任事故或环境污染事故的</w:t>
            </w:r>
          </w:p>
        </w:tc>
        <w:tc>
          <w:tcPr>
            <w:tcW w:w="750" w:type="dxa"/>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接收单位、水路运输单位</w:t>
            </w:r>
          </w:p>
        </w:tc>
        <w:tc>
          <w:tcPr>
            <w:tcW w:w="630" w:type="dxa"/>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罚款</w:t>
            </w:r>
          </w:p>
        </w:tc>
        <w:tc>
          <w:tcPr>
            <w:tcW w:w="1275" w:type="dxa"/>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处二万元以上五万元及以下罚款</w:t>
            </w:r>
          </w:p>
        </w:tc>
        <w:tc>
          <w:tcPr>
            <w:tcW w:w="600" w:type="dxa"/>
            <w:tcBorders>
              <w:left w:val="single" w:color="auto" w:sz="4" w:space="0"/>
              <w:right w:val="single" w:color="auto" w:sz="4" w:space="0"/>
            </w:tcBorders>
            <w:shd w:val="clear" w:color="auto" w:fill="auto"/>
            <w:tcMar>
              <w:top w:w="15" w:type="dxa"/>
              <w:left w:w="15" w:type="dxa"/>
              <w:right w:w="15" w:type="dxa"/>
            </w:tcMar>
            <w:vAlign w:val="center"/>
          </w:tcPr>
          <w:p>
            <w:pPr>
              <w:jc w:val="left"/>
              <w:rPr>
                <w:rFonts w:ascii="仿宋_GB2312" w:cs="仿宋_GB2312"/>
                <w:bCs/>
                <w:sz w:val="20"/>
              </w:rPr>
            </w:pPr>
            <w:r>
              <w:rPr>
                <w:rFonts w:hint="eastAsia" w:ascii="仿宋_GB2312" w:cs="仿宋_GB2312"/>
                <w:bCs/>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5" w:hRule="atLeast"/>
        </w:trPr>
        <w:tc>
          <w:tcPr>
            <w:tcW w:w="37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lang w:bidi="ar"/>
              </w:rPr>
            </w:pPr>
          </w:p>
        </w:tc>
        <w:tc>
          <w:tcPr>
            <w:tcW w:w="60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kern w:val="0"/>
                <w:sz w:val="20"/>
              </w:rPr>
            </w:pPr>
          </w:p>
        </w:tc>
        <w:tc>
          <w:tcPr>
            <w:tcW w:w="83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kern w:val="0"/>
                <w:sz w:val="20"/>
              </w:rPr>
            </w:pPr>
          </w:p>
        </w:tc>
        <w:tc>
          <w:tcPr>
            <w:tcW w:w="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bCs/>
                <w:kern w:val="0"/>
                <w:sz w:val="20"/>
              </w:rPr>
            </w:pPr>
          </w:p>
        </w:tc>
        <w:tc>
          <w:tcPr>
            <w:tcW w:w="47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sz w:val="20"/>
              </w:rPr>
            </w:pPr>
          </w:p>
        </w:tc>
        <w:tc>
          <w:tcPr>
            <w:tcW w:w="862"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bCs/>
                <w:kern w:val="0"/>
                <w:sz w:val="20"/>
              </w:rPr>
            </w:pPr>
          </w:p>
        </w:tc>
        <w:tc>
          <w:tcPr>
            <w:tcW w:w="61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p>
        </w:tc>
        <w:tc>
          <w:tcPr>
            <w:tcW w:w="6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kern w:val="0"/>
                <w:sz w:val="20"/>
              </w:rPr>
            </w:pPr>
          </w:p>
        </w:tc>
        <w:tc>
          <w:tcPr>
            <w:tcW w:w="186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bCs/>
                <w:kern w:val="0"/>
                <w:sz w:val="20"/>
              </w:rPr>
            </w:pPr>
          </w:p>
        </w:tc>
        <w:tc>
          <w:tcPr>
            <w:tcW w:w="187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bCs/>
                <w:kern w:val="0"/>
                <w:sz w:val="20"/>
              </w:rPr>
            </w:pPr>
          </w:p>
        </w:tc>
        <w:tc>
          <w:tcPr>
            <w:tcW w:w="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bCs/>
                <w:sz w:val="20"/>
              </w:rPr>
            </w:pPr>
            <w:r>
              <w:rPr>
                <w:rFonts w:hint="eastAsia" w:ascii="仿宋_GB2312" w:cs="仿宋_GB2312"/>
                <w:bCs/>
                <w:sz w:val="20"/>
              </w:rPr>
              <w:t>严重</w:t>
            </w:r>
          </w:p>
        </w:tc>
        <w:tc>
          <w:tcPr>
            <w:tcW w:w="1133"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发生安全生产责任事故或环境污染事故的</w:t>
            </w:r>
          </w:p>
        </w:tc>
        <w:tc>
          <w:tcPr>
            <w:tcW w:w="750"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接收单位、水路运输单位</w:t>
            </w:r>
          </w:p>
        </w:tc>
        <w:tc>
          <w:tcPr>
            <w:tcW w:w="630"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罚款</w:t>
            </w:r>
          </w:p>
        </w:tc>
        <w:tc>
          <w:tcPr>
            <w:tcW w:w="127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bCs/>
                <w:sz w:val="20"/>
              </w:rPr>
            </w:pPr>
            <w:r>
              <w:rPr>
                <w:rFonts w:hint="eastAsia" w:ascii="仿宋_GB2312" w:cs="仿宋_GB2312"/>
                <w:bCs/>
                <w:sz w:val="20"/>
              </w:rPr>
              <w:t>处五万元以上十万元及以下罚款</w:t>
            </w:r>
          </w:p>
        </w:tc>
        <w:tc>
          <w:tcPr>
            <w:tcW w:w="600"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_GB2312" w:cs="仿宋_GB2312"/>
                <w:bCs/>
                <w:sz w:val="20"/>
              </w:rPr>
            </w:pPr>
            <w:r>
              <w:rPr>
                <w:rFonts w:hint="eastAsia" w:ascii="仿宋_GB2312" w:cs="仿宋_GB2312"/>
                <w:bCs/>
                <w:sz w:val="20"/>
              </w:rPr>
              <w:t>责令改正</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5A"/>
    <w:rsid w:val="001031BC"/>
    <w:rsid w:val="002C6F5A"/>
    <w:rsid w:val="003141FC"/>
    <w:rsid w:val="00414946"/>
    <w:rsid w:val="0042376D"/>
    <w:rsid w:val="00537C29"/>
    <w:rsid w:val="007F698A"/>
    <w:rsid w:val="00CB1DFE"/>
    <w:rsid w:val="00CD159C"/>
    <w:rsid w:val="00DA44D4"/>
    <w:rsid w:val="00E549BC"/>
    <w:rsid w:val="00F834F7"/>
    <w:rsid w:val="FDFA2684"/>
    <w:rsid w:val="FF555545"/>
    <w:rsid w:val="FFBE9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137</Words>
  <Characters>781</Characters>
  <Lines>6</Lines>
  <Paragraphs>1</Paragraphs>
  <TotalTime>20</TotalTime>
  <ScaleCrop>false</ScaleCrop>
  <LinksUpToDate>false</LinksUpToDate>
  <CharactersWithSpaces>917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2023-05-21T11:22:00Z</dcterms:created>
  <dc:creator>yukai</dc:creator>
  <cp:lastModifiedBy>yangyan</cp:lastModifiedBy>
  <dcterms:modified xsi:type="dcterms:W3CDTF">2023-06-09T11:13:14Z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