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77" w:afterLines="10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  <w:lang w:eastAsia="zh-CN"/>
        </w:rPr>
        <w:t>普陀山公安分局</w:t>
      </w:r>
      <w:r>
        <w:rPr>
          <w:rFonts w:hint="eastAsia" w:ascii="Times New Roman" w:hAnsi="Times New Roman"/>
          <w:b/>
          <w:bCs/>
          <w:sz w:val="44"/>
          <w:szCs w:val="44"/>
          <w:lang w:val="en-US" w:eastAsia="zh-CN"/>
        </w:rPr>
        <w:t>2021</w:t>
      </w:r>
      <w:r>
        <w:rPr>
          <w:rFonts w:ascii="Times New Roman"/>
          <w:b/>
          <w:bCs/>
          <w:sz w:val="44"/>
          <w:szCs w:val="44"/>
        </w:rPr>
        <w:t>年度行政执法统计年报</w:t>
      </w:r>
    </w:p>
    <w:p>
      <w:pPr>
        <w:spacing w:after="577" w:afterLines="100" w:line="56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>目</w:t>
      </w:r>
      <w:r>
        <w:rPr>
          <w:rFonts w:ascii="Times New Roman" w:hAnsi="Times New Roman"/>
          <w:b/>
          <w:bCs/>
          <w:sz w:val="36"/>
          <w:szCs w:val="36"/>
        </w:rPr>
        <w:t xml:space="preserve">   </w:t>
      </w:r>
      <w:r>
        <w:rPr>
          <w:rFonts w:ascii="Times New Roman"/>
          <w:b/>
          <w:bCs/>
          <w:sz w:val="36"/>
          <w:szCs w:val="36"/>
        </w:rPr>
        <w:t>录</w:t>
      </w:r>
    </w:p>
    <w:p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第一部分  </w:t>
      </w:r>
      <w:r>
        <w:rPr>
          <w:rFonts w:hint="eastAsia" w:ascii="Times New Roman" w:hAnsi="Times New Roman"/>
          <w:szCs w:val="32"/>
          <w:lang w:eastAsia="zh-CN"/>
        </w:rPr>
        <w:t>普陀山公安分局</w:t>
      </w:r>
      <w:r>
        <w:rPr>
          <w:rFonts w:hint="eastAsia" w:ascii="Times New Roman" w:hAnsi="Times New Roman"/>
          <w:szCs w:val="32"/>
          <w:lang w:val="en-US" w:eastAsia="zh-CN"/>
        </w:rPr>
        <w:t>2021</w:t>
      </w:r>
      <w:r>
        <w:rPr>
          <w:rFonts w:ascii="Times New Roman" w:hAnsi="Times New Roman"/>
          <w:szCs w:val="32"/>
        </w:rPr>
        <w:t>年度行政执法数据表</w:t>
      </w:r>
    </w:p>
    <w:p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一、行政处罚实施情况统计表</w:t>
      </w:r>
    </w:p>
    <w:p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二、行政许可实施情况统计表</w:t>
      </w:r>
    </w:p>
    <w:p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三、行政强制实施情况统计表</w:t>
      </w:r>
    </w:p>
    <w:p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四、其他行政执法行为实施情况统计表</w:t>
      </w:r>
    </w:p>
    <w:p>
      <w:pPr>
        <w:spacing w:line="560" w:lineRule="exact"/>
        <w:ind w:firstLine="64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第二部分 </w:t>
      </w:r>
      <w:r>
        <w:rPr>
          <w:rFonts w:hint="eastAsia" w:ascii="Times New Roman" w:hAnsi="Times New Roman"/>
          <w:szCs w:val="32"/>
          <w:lang w:eastAsia="zh-CN"/>
        </w:rPr>
        <w:t>普陀山公安分局</w:t>
      </w:r>
      <w:r>
        <w:rPr>
          <w:rFonts w:hint="eastAsia" w:ascii="Times New Roman" w:hAnsi="Times New Roman"/>
          <w:szCs w:val="32"/>
          <w:lang w:val="en-US" w:eastAsia="zh-CN"/>
        </w:rPr>
        <w:t>2021</w:t>
      </w:r>
      <w:r>
        <w:rPr>
          <w:rFonts w:ascii="Times New Roman" w:hAnsi="Times New Roman"/>
          <w:szCs w:val="32"/>
        </w:rPr>
        <w:t>年度行政执法总体情况</w:t>
      </w:r>
    </w:p>
    <w:p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>
      <w:pPr>
        <w:spacing w:line="560" w:lineRule="exact"/>
        <w:rPr>
          <w:rFonts w:ascii="仿宋_GB2312" w:hAnsi="方正小标宋简体" w:cs="方正小标宋简体"/>
          <w:color w:val="000000"/>
          <w:szCs w:val="32"/>
        </w:rPr>
      </w:pPr>
    </w:p>
    <w:p>
      <w:pPr>
        <w:spacing w:line="560" w:lineRule="exact"/>
        <w:rPr>
          <w:rFonts w:ascii="黑体" w:hAnsi="黑体" w:eastAsia="黑体"/>
          <w:szCs w:val="32"/>
        </w:rPr>
      </w:pPr>
    </w:p>
    <w:p>
      <w:pPr>
        <w:spacing w:line="560" w:lineRule="exact"/>
        <w:ind w:firstLine="556" w:firstLineChars="200"/>
        <w:rPr>
          <w:rFonts w:ascii="仿宋_GB2312" w:hAnsi="仿宋_GB2312" w:cs="仿宋_GB2312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417" w:bottom="2041" w:left="1587" w:header="851" w:footer="992" w:gutter="0"/>
          <w:pgNumType w:fmt="numberInDash"/>
          <w:cols w:space="0" w:num="1"/>
          <w:docGrid w:type="linesAndChars" w:linePitch="577" w:charSpace="-425"/>
        </w:sectPr>
      </w:pPr>
    </w:p>
    <w:p>
      <w:pPr>
        <w:spacing w:after="577" w:afterLines="100" w:line="56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第一部分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普陀山公安分局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年度行政执法数据表</w:t>
      </w: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表一</w:t>
      </w:r>
    </w:p>
    <w:p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eastAsia="zh-CN"/>
        </w:rPr>
        <w:t>普陀山公安分局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b/>
          <w:bCs/>
          <w:szCs w:val="32"/>
        </w:rPr>
        <w:t>年度行政处罚实施情况统计表</w:t>
      </w:r>
    </w:p>
    <w:tbl>
      <w:tblPr>
        <w:tblStyle w:val="8"/>
        <w:tblpPr w:leftFromText="180" w:rightFromText="180" w:vertAnchor="text" w:tblpXSpec="center" w:tblpY="59"/>
        <w:tblW w:w="16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650"/>
        <w:gridCol w:w="888"/>
        <w:gridCol w:w="1125"/>
        <w:gridCol w:w="1145"/>
        <w:gridCol w:w="1152"/>
        <w:gridCol w:w="1131"/>
        <w:gridCol w:w="1132"/>
        <w:gridCol w:w="1473"/>
        <w:gridCol w:w="1213"/>
        <w:gridCol w:w="832"/>
        <w:gridCol w:w="969"/>
        <w:gridCol w:w="777"/>
        <w:gridCol w:w="1091"/>
        <w:gridCol w:w="927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4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宋体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</w:rPr>
              <w:t>警告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通报批评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</w:rPr>
              <w:t>罚款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</w:rPr>
              <w:t>没收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</w:rPr>
              <w:t>违法所得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</w:rPr>
              <w:t>没收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</w:rPr>
              <w:t>非法财物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  <w:t>暂扣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  <w:t>许可证件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  <w:t>降低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  <w:t>资质等级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  <w:t>吊销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1"/>
                <w:szCs w:val="21"/>
                <w:lang w:eastAsia="zh-CN"/>
              </w:rPr>
              <w:t>许可证件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1"/>
                <w:szCs w:val="21"/>
                <w:lang w:eastAsia="zh-CN"/>
              </w:rPr>
              <w:t>限制开展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1"/>
                <w:szCs w:val="21"/>
                <w:lang w:eastAsia="zh-CN"/>
              </w:rPr>
              <w:t>生产经营活动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  <w:lang w:eastAsia="zh-CN"/>
              </w:rPr>
              <w:t>责令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  <w:lang w:eastAsia="zh-CN"/>
              </w:rPr>
              <w:t>停产停业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  <w:lang w:eastAsia="zh-CN"/>
              </w:rPr>
              <w:t>责令</w:t>
            </w:r>
          </w:p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kern w:val="0"/>
                <w:sz w:val="21"/>
                <w:szCs w:val="21"/>
                <w:lang w:eastAsia="zh-CN"/>
              </w:rPr>
              <w:t>关闭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限制</w:t>
            </w:r>
          </w:p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从业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行政</w:t>
            </w:r>
          </w:p>
          <w:p>
            <w:pPr>
              <w:spacing w:line="300" w:lineRule="exact"/>
              <w:jc w:val="center"/>
              <w:rPr>
                <w:rFonts w:hint="eastAsia" w:ascii="Times New Roman" w:hAnsi="宋体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拘留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其他</w:t>
            </w:r>
          </w:p>
          <w:p>
            <w:pPr>
              <w:spacing w:line="300" w:lineRule="exact"/>
              <w:jc w:val="center"/>
              <w:rPr>
                <w:rFonts w:hint="eastAsia" w:ascii="Times New Roman" w:hAnsi="宋体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</w:rPr>
              <w:t>合计</w:t>
            </w:r>
          </w:p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</w:rPr>
              <w:t>（宗）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罚没金额</w:t>
            </w:r>
          </w:p>
          <w:p>
            <w:pPr>
              <w:spacing w:line="300" w:lineRule="exact"/>
              <w:jc w:val="center"/>
              <w:rPr>
                <w:rFonts w:hint="eastAsia" w:ascii="Times New Roman" w:hAnsi="宋体" w:eastAsia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sz w:val="21"/>
                <w:szCs w:val="21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24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1010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78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156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1269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28.9万</w:t>
            </w:r>
          </w:p>
        </w:tc>
      </w:tr>
    </w:tbl>
    <w:p>
      <w:pPr>
        <w:spacing w:line="560" w:lineRule="exact"/>
        <w:jc w:val="left"/>
        <w:rPr>
          <w:rFonts w:ascii="仿宋_GB2312" w:hAnsi="仿宋_GB2312" w:cs="仿宋_GB2312"/>
          <w:sz w:val="21"/>
          <w:szCs w:val="21"/>
        </w:rPr>
      </w:pPr>
    </w:p>
    <w:p>
      <w:pPr>
        <w:spacing w:line="400" w:lineRule="exact"/>
        <w:ind w:firstLine="482"/>
        <w:jc w:val="left"/>
        <w:rPr>
          <w:rFonts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说明：</w:t>
      </w:r>
    </w:p>
    <w:p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1.行政处罚实施数量的统计范围为统计年度1月1日至12月31日期间作出行政处罚决定的数量。</w:t>
      </w:r>
    </w:p>
    <w:p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cs="仿宋_GB2312"/>
          <w:sz w:val="21"/>
          <w:szCs w:val="21"/>
        </w:rPr>
        <w:t>.“没收违法所得、没收非法财物”能确定金额的，计入“罚没金额”；不能确定金额的，不计入“罚没金额”。</w:t>
      </w:r>
    </w:p>
    <w:p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3</w:t>
      </w:r>
      <w:r>
        <w:rPr>
          <w:rFonts w:hint="eastAsia" w:ascii="仿宋_GB2312" w:hAnsi="仿宋_GB2312" w:cs="仿宋_GB2312"/>
          <w:sz w:val="21"/>
          <w:szCs w:val="21"/>
        </w:rPr>
        <w:t>.“罚没金额”以处罚决定书确定的金额为准。</w:t>
      </w:r>
    </w:p>
    <w:p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</w:p>
    <w:p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</w:p>
    <w:p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</w:p>
    <w:p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表二</w:t>
      </w:r>
    </w:p>
    <w:p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eastAsia="zh-CN"/>
        </w:rPr>
        <w:t>普陀山公安分局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b/>
          <w:bCs/>
          <w:szCs w:val="32"/>
        </w:rPr>
        <w:t>年度行政许可实施情况统计表</w:t>
      </w:r>
    </w:p>
    <w:p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1762"/>
        <w:gridCol w:w="1775"/>
        <w:gridCol w:w="2725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523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09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申请数量</w:t>
            </w:r>
          </w:p>
        </w:tc>
        <w:tc>
          <w:tcPr>
            <w:tcW w:w="176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受理数量</w:t>
            </w:r>
          </w:p>
        </w:tc>
        <w:tc>
          <w:tcPr>
            <w:tcW w:w="1775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许可数量</w:t>
            </w:r>
          </w:p>
        </w:tc>
        <w:tc>
          <w:tcPr>
            <w:tcW w:w="2725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不予许可数量</w:t>
            </w:r>
          </w:p>
        </w:tc>
        <w:tc>
          <w:tcPr>
            <w:tcW w:w="2352" w:type="dxa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909" w:type="dxa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495</w:t>
            </w:r>
          </w:p>
        </w:tc>
        <w:tc>
          <w:tcPr>
            <w:tcW w:w="1762" w:type="dxa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495</w:t>
            </w:r>
          </w:p>
        </w:tc>
        <w:tc>
          <w:tcPr>
            <w:tcW w:w="1775" w:type="dxa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495</w:t>
            </w:r>
          </w:p>
        </w:tc>
        <w:tc>
          <w:tcPr>
            <w:tcW w:w="2725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2352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rPr>
          <w:rFonts w:ascii="Times New Roman" w:hAnsi="Times New Roman"/>
          <w:sz w:val="24"/>
        </w:rPr>
      </w:pPr>
    </w:p>
    <w:p>
      <w:pPr>
        <w:spacing w:line="560" w:lineRule="exact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</w:t>
      </w:r>
    </w:p>
    <w:p>
      <w:pPr>
        <w:spacing w:line="560" w:lineRule="exact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1.“申请数量”的统计范围为统计年度1月1日至12月31日期间许可机关收到当事人许可申请的数量。</w:t>
      </w:r>
    </w:p>
    <w:p>
      <w:pPr>
        <w:spacing w:line="560" w:lineRule="exact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spacing w:line="560" w:lineRule="exact"/>
        <w:rPr>
          <w:rFonts w:ascii="Times New Roman" w:hAnsi="Times New Roman"/>
          <w:szCs w:val="32"/>
        </w:rPr>
      </w:pPr>
    </w:p>
    <w:p>
      <w:pPr>
        <w:spacing w:line="560" w:lineRule="exact"/>
        <w:ind w:firstLine="556" w:firstLineChars="200"/>
        <w:rPr>
          <w:rFonts w:ascii="仿宋_GB2312" w:hAnsi="仿宋_GB2312" w:cs="仿宋_GB2312"/>
          <w:sz w:val="28"/>
          <w:szCs w:val="28"/>
        </w:rPr>
      </w:pPr>
    </w:p>
    <w:p>
      <w:pPr>
        <w:spacing w:line="560" w:lineRule="exact"/>
        <w:ind w:firstLine="556" w:firstLineChars="200"/>
        <w:rPr>
          <w:rFonts w:ascii="仿宋_GB2312" w:hAnsi="仿宋_GB2312" w:cs="仿宋_GB2312"/>
          <w:sz w:val="28"/>
          <w:szCs w:val="28"/>
        </w:rPr>
      </w:pPr>
    </w:p>
    <w:p>
      <w:pPr>
        <w:spacing w:line="560" w:lineRule="exact"/>
        <w:ind w:firstLine="556" w:firstLineChars="200"/>
        <w:rPr>
          <w:rFonts w:ascii="仿宋_GB2312" w:hAnsi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表三</w:t>
      </w:r>
    </w:p>
    <w:p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eastAsia="zh-CN"/>
        </w:rPr>
        <w:t>普陀山公安分局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b/>
          <w:bCs/>
          <w:szCs w:val="32"/>
        </w:rPr>
        <w:t>年度行政强制实施情况统计表</w:t>
      </w:r>
    </w:p>
    <w:p>
      <w:pPr>
        <w:widowControl/>
        <w:spacing w:line="560" w:lineRule="exact"/>
        <w:jc w:val="center"/>
        <w:rPr>
          <w:rFonts w:ascii="Times New Roman" w:hAnsi="Times New Roman"/>
          <w:b/>
          <w:kern w:val="0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812"/>
        <w:gridCol w:w="1013"/>
        <w:gridCol w:w="1075"/>
        <w:gridCol w:w="1475"/>
        <w:gridCol w:w="1062"/>
        <w:gridCol w:w="1800"/>
        <w:gridCol w:w="1275"/>
        <w:gridCol w:w="913"/>
        <w:gridCol w:w="975"/>
        <w:gridCol w:w="987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8" w:type="dxa"/>
            <w:gridSpan w:val="4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行政强制措施实施数量（宗）</w:t>
            </w:r>
          </w:p>
        </w:tc>
        <w:tc>
          <w:tcPr>
            <w:tcW w:w="8487" w:type="dxa"/>
            <w:gridSpan w:val="7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行政强制执行实施数量（宗）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查封场所、设施或者财物</w:t>
            </w:r>
          </w:p>
        </w:tc>
        <w:tc>
          <w:tcPr>
            <w:tcW w:w="81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扣押财物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冻结存款、汇款</w:t>
            </w:r>
          </w:p>
        </w:tc>
        <w:tc>
          <w:tcPr>
            <w:tcW w:w="107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其他行政强制措施</w:t>
            </w:r>
          </w:p>
        </w:tc>
        <w:tc>
          <w:tcPr>
            <w:tcW w:w="7500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行政机关强制执行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申请法院强制执行</w:t>
            </w:r>
          </w:p>
        </w:tc>
        <w:tc>
          <w:tcPr>
            <w:tcW w:w="566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加处罚款或者滞纳金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划拨存款、汇款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拍卖或者依法处理查封、扣押的场所、设施或者财物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排除妨碍、恢复原状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代履行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</w:rPr>
              <w:t>其他强制执行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vMerge w:val="continue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39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1"/>
                <w:szCs w:val="21"/>
                <w:lang w:val="en-US" w:eastAsia="zh-CN"/>
              </w:rPr>
              <w:t>74</w:t>
            </w:r>
          </w:p>
        </w:tc>
      </w:tr>
    </w:tbl>
    <w:p>
      <w:pPr>
        <w:spacing w:line="560" w:lineRule="exact"/>
        <w:ind w:firstLine="416" w:firstLineChars="2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说明：</w:t>
      </w:r>
    </w:p>
    <w:p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1.“行政强制措施实施数量”的统计范围为统计年度1月1日至12月31日期间作出“查封场所、设施或者财物”、“扣押</w:t>
      </w:r>
      <w:r>
        <w:rPr>
          <w:rFonts w:hint="eastAsia" w:ascii="Times New Roman" w:hAnsi="Times New Roman"/>
          <w:sz w:val="21"/>
          <w:szCs w:val="21"/>
        </w:rPr>
        <w:t>财物</w:t>
      </w:r>
      <w:r>
        <w:rPr>
          <w:rFonts w:ascii="Times New Roman" w:hAnsi="Times New Roman"/>
          <w:sz w:val="21"/>
          <w:szCs w:val="21"/>
        </w:rPr>
        <w:t>”、“冻结存款、汇款”或者“其他行政强制措施”决定的数量。</w:t>
      </w:r>
    </w:p>
    <w:p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3.“申请法院强制执行”数量的统计范围为统计年度1月1日至12月31日期间向法院申请强制执行的数量，时间以申请日期为准。</w:t>
      </w:r>
    </w:p>
    <w:p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</w:p>
    <w:p>
      <w:pPr>
        <w:spacing w:line="56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表四</w:t>
      </w:r>
    </w:p>
    <w:p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  <w:lang w:eastAsia="zh-CN"/>
        </w:rPr>
        <w:t>普陀山公安分局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b/>
          <w:bCs/>
          <w:szCs w:val="32"/>
        </w:rPr>
        <w:t>年度其他行政执法行为实施情况统计表</w:t>
      </w:r>
    </w:p>
    <w:p>
      <w:pPr>
        <w:spacing w:line="560" w:lineRule="exact"/>
        <w:rPr>
          <w:rFonts w:ascii="Times New Roman" w:hAnsi="Times New Roman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900"/>
        <w:gridCol w:w="1440"/>
        <w:gridCol w:w="720"/>
        <w:gridCol w:w="1440"/>
        <w:gridCol w:w="1080"/>
        <w:gridCol w:w="960"/>
        <w:gridCol w:w="1200"/>
        <w:gridCol w:w="1260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行政征收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行政裁决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行政给付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行政确认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行政奖励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其他行政执法行为</w:t>
            </w:r>
          </w:p>
        </w:tc>
        <w:tc>
          <w:tcPr>
            <w:tcW w:w="1113" w:type="dxa"/>
            <w:tcBorders>
              <w:top w:val="single" w:color="auto" w:sz="4" w:space="0"/>
              <w:bottom w:val="nil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合计（宗）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征收总金额（万元）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涉及金额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给付总金额（万元）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奖励总金额（万元）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113" w:type="dxa"/>
            <w:vMerge w:val="restart"/>
          </w:tcPr>
          <w:p>
            <w:pPr>
              <w:widowControl/>
              <w:spacing w:line="560" w:lineRule="exact"/>
              <w:jc w:val="left"/>
              <w:rPr>
                <w:rFonts w:hint="eastAsia" w:ascii="Times New Roman" w:hAnsi="Times New Roman"/>
                <w:b/>
                <w:kern w:val="0"/>
                <w:lang w:val="en-US" w:eastAsia="zh-CN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44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900" w:type="dxa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44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72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44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080" w:type="dxa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960" w:type="dxa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20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260" w:type="dxa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lang w:val="en-US" w:eastAsia="zh-CN"/>
              </w:rPr>
              <w:t>0</w:t>
            </w:r>
          </w:p>
        </w:tc>
        <w:tc>
          <w:tcPr>
            <w:tcW w:w="1113" w:type="dxa"/>
            <w:vMerge w:val="continue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kern w:val="0"/>
              </w:rPr>
            </w:pPr>
          </w:p>
        </w:tc>
      </w:tr>
    </w:tbl>
    <w:p>
      <w:pPr>
        <w:spacing w:line="560" w:lineRule="exact"/>
        <w:ind w:firstLine="476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</w:t>
      </w:r>
    </w:p>
    <w:p>
      <w:pPr>
        <w:spacing w:line="560" w:lineRule="exact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1.“行政征收”的统计范围为统计年度1月1日至12月31日期间征收完毕的数量。</w:t>
      </w:r>
    </w:p>
    <w:p>
      <w:pPr>
        <w:spacing w:line="560" w:lineRule="exact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2.“行政裁决”、“行政确认”、“行政奖励”的统计范围为统计年度1月1日至12月31日期间作出行政裁决、行政确认、行政奖励决定的数量。</w:t>
      </w:r>
    </w:p>
    <w:p>
      <w:pPr>
        <w:spacing w:line="560" w:lineRule="exact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3.“</w:t>
      </w:r>
      <w:r>
        <w:rPr>
          <w:rFonts w:ascii="Times New Roman"/>
          <w:sz w:val="24"/>
        </w:rPr>
        <w:t>行政给付</w:t>
      </w:r>
      <w:r>
        <w:rPr>
          <w:rFonts w:ascii="Times New Roman" w:hAnsi="Times New Roman"/>
          <w:sz w:val="24"/>
        </w:rPr>
        <w:t>”的统计范围为统计年度1月1日至12月31日期间给付完毕的数量。</w:t>
      </w:r>
    </w:p>
    <w:p>
      <w:pPr>
        <w:spacing w:line="560" w:lineRule="exact"/>
        <w:ind w:firstLine="482"/>
        <w:rPr>
          <w:rFonts w:ascii="Times New Roman" w:hAnsi="Times New Roman"/>
          <w:sz w:val="24"/>
        </w:rPr>
        <w:sectPr>
          <w:pgSz w:w="16838" w:h="11906" w:orient="landscape"/>
          <w:pgMar w:top="1587" w:right="2098" w:bottom="1417" w:left="2041" w:header="851" w:footer="992" w:gutter="0"/>
          <w:pgNumType w:fmt="numberInDash"/>
          <w:cols w:space="0" w:num="1"/>
          <w:docGrid w:type="linesAndChars" w:linePitch="577" w:charSpace="-425"/>
        </w:sectPr>
      </w:pPr>
      <w:r>
        <w:rPr>
          <w:rFonts w:ascii="Times New Roman" w:hAnsi="Times New Roman"/>
          <w:sz w:val="24"/>
        </w:rPr>
        <w:t>4.“其他行政执法行为”的统计范围为统计年度1月1日至12月31日期间完成的宗数。</w:t>
      </w:r>
    </w:p>
    <w:p>
      <w:pPr>
        <w:spacing w:after="577"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第二部分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普陀山公安分局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年度行政执法</w:t>
      </w:r>
    </w:p>
    <w:p>
      <w:pPr>
        <w:spacing w:after="577" w:afterLines="100"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ascii="Times New Roman"/>
          <w:b/>
          <w:bCs/>
          <w:szCs w:val="32"/>
        </w:rPr>
        <w:t>情况说明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一、</w:t>
      </w:r>
      <w:r>
        <w:rPr>
          <w:rFonts w:ascii="Times New Roman" w:hAnsi="黑体" w:eastAsia="黑体"/>
          <w:szCs w:val="32"/>
        </w:rPr>
        <w:t>行政处罚实施情况说明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年度行政处罚总数为</w:t>
      </w:r>
      <w:r>
        <w:rPr>
          <w:rFonts w:hint="eastAsia" w:ascii="仿宋_GB2312" w:hAnsi="仿宋_GB2312" w:cs="仿宋_GB2312"/>
          <w:szCs w:val="32"/>
          <w:lang w:val="en-US" w:eastAsia="zh-CN"/>
        </w:rPr>
        <w:t>1269</w:t>
      </w:r>
      <w:r>
        <w:rPr>
          <w:rFonts w:hint="eastAsia" w:ascii="仿宋_GB2312" w:hAnsi="仿宋_GB2312" w:cs="仿宋_GB2312"/>
          <w:szCs w:val="32"/>
        </w:rPr>
        <w:t>宗，罚没收入</w:t>
      </w:r>
      <w:r>
        <w:rPr>
          <w:rFonts w:hint="eastAsia" w:ascii="仿宋_GB2312" w:hAnsi="仿宋_GB2312" w:cs="仿宋_GB2312"/>
          <w:szCs w:val="32"/>
          <w:lang w:val="en-US" w:eastAsia="zh-CN"/>
        </w:rPr>
        <w:t>28.9万</w:t>
      </w:r>
      <w:r>
        <w:rPr>
          <w:rFonts w:hint="eastAsia" w:ascii="仿宋_GB2312" w:hAnsi="仿宋_GB2312" w:cs="仿宋_GB2312"/>
          <w:szCs w:val="32"/>
        </w:rPr>
        <w:t>元。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年度行政处罚被申请行政复议</w:t>
      </w:r>
      <w:r>
        <w:rPr>
          <w:rFonts w:hint="eastAsia" w:ascii="仿宋_GB2312" w:hAnsi="仿宋_GB2312" w:cs="仿宋_GB231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szCs w:val="32"/>
        </w:rPr>
        <w:t>宗，占行政处罚总数的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0.078</w:t>
      </w:r>
      <w:r>
        <w:rPr>
          <w:rFonts w:hint="eastAsia" w:ascii="仿宋_GB2312" w:hAnsi="仿宋_GB2312" w:cs="仿宋_GB2312"/>
          <w:szCs w:val="32"/>
        </w:rPr>
        <w:t>%；行政复议决定撤销、变更或者确认违法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宗，占被申请行政复议宗数的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%，占行政处罚总数的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%。行政复议后又被提起行政诉讼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宗，判决撤销、部分撤销、变更、确认违法或者确认无效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宗，占行政复议后又被提起行政诉讼宗数的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%，占行政处罚总数的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年度行政处罚直接被提起行政诉讼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宗，占行政处罚总数的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%；判决撤销、部分撤销、变更、确认违法或者确认无效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宗，占直接被提起行政诉讼宗数的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%，占行政处罚总数的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二、行政许可实施情况说明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年度行政许可申请总数为</w:t>
      </w:r>
      <w:r>
        <w:rPr>
          <w:rFonts w:hint="eastAsia" w:ascii="仿宋_GB2312" w:hAnsi="仿宋_GB2312" w:cs="仿宋_GB2312"/>
          <w:szCs w:val="32"/>
          <w:lang w:val="en-US" w:eastAsia="zh-CN"/>
        </w:rPr>
        <w:t>495</w:t>
      </w:r>
      <w:r>
        <w:rPr>
          <w:rFonts w:hint="eastAsia" w:ascii="仿宋_GB2312" w:hAnsi="仿宋_GB2312" w:cs="仿宋_GB2312"/>
          <w:szCs w:val="32"/>
        </w:rPr>
        <w:t>宗，予以许可</w:t>
      </w:r>
      <w:r>
        <w:rPr>
          <w:rFonts w:hint="eastAsia" w:ascii="仿宋_GB2312" w:hAnsi="仿宋_GB2312" w:cs="仿宋_GB2312"/>
          <w:szCs w:val="32"/>
          <w:lang w:val="en-US" w:eastAsia="zh-CN"/>
        </w:rPr>
        <w:t>495</w:t>
      </w:r>
      <w:r>
        <w:rPr>
          <w:rFonts w:hint="eastAsia" w:ascii="仿宋_GB2312" w:hAnsi="仿宋_GB2312" w:cs="仿宋_GB2312"/>
          <w:szCs w:val="32"/>
        </w:rPr>
        <w:t>宗。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年度行政许可（含不予受理、予以许可和不予许可）被申请行政复议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宗，占行政许可申请总数的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%；行政复议决定履行法定职责、撤销、变更或者确认违法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宗，占被申请行政复议宗数的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%，占行政许可申请总数的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%。行政复议后又被提起行政诉讼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宗，判决履行法定职责、撤销、部分撤销、变更、确认违法或者确认无效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宗，占行政复议后又被提起行政诉讼宗数的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%，占行政许可申请总数的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年度行政许可（含不予受理、予以许可和不予许可）直接被提起行政诉讼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宗，占行政许可申请总数的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%；判决履行法定职责、撤销、部分撤销、变更、确认违法或者确认无效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宗，占直接被提起行政诉讼宗数的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%，占行政许可申请总数的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三、行政强制实施情况说明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年度行政强制总数为</w:t>
      </w:r>
      <w:r>
        <w:rPr>
          <w:rFonts w:hint="eastAsia" w:ascii="仿宋_GB2312" w:hAnsi="仿宋_GB2312" w:cs="仿宋_GB2312"/>
          <w:szCs w:val="32"/>
          <w:lang w:val="en-US" w:eastAsia="zh-CN"/>
        </w:rPr>
        <w:t>74</w:t>
      </w:r>
      <w:r>
        <w:rPr>
          <w:rFonts w:hint="eastAsia" w:ascii="仿宋_GB2312" w:hAnsi="仿宋_GB2312" w:cs="仿宋_GB2312"/>
          <w:szCs w:val="32"/>
        </w:rPr>
        <w:t>宗。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年度行政强制被申请行政复议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宗，占行政强制总数的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%；行政复议决定撤销、变更或者确认违法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宗，占被申请行政复议宗数的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%，占行政强制总数的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%。行政复议后又被提起行政诉讼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宗，判决撤销、部分撤销、变更、确认违法或者确认无效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宗，占行政复议后又被提起行政诉讼宗数的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%，占行政强制总数的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年度行政强制直接被提起行政诉讼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宗，占行政强制总数的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%；判决撤销、部分撤销、变更、确认违法或者确认无效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宗，占直接被提起行政诉讼宗数的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%，占行政强制总数的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四、其他行政执法行为实施情况说明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年度行政征收总数为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次，征收总金额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元。行政征收被申请行政复议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宗，占行政征收总数的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%；行政复议决定撤销、变更或者确认违法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宗，占被申请行政复议宗数的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%，占行政征收总数的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%。行政复议后又被提起行政诉讼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宗，判决撤销、部分撤销、变更、确认违法或者确认无效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宗，占行政复议后又被提起行政诉讼宗数的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%，占行政征收总数的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%。行政征收直接被提起行政诉讼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宗，占行政征收总数的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%；判决撤销、部分撤销、变更、确认违法或者确认无效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宗，占直接被提起行政诉讼宗数的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%，占行政征收总数的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年度行政裁决总数为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次，涉及总金额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元。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年度行政给付总数为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次，给付总金额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元。行政给付被申请行政复议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宗，占行政给付总数的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%；行政复议决定履行法定职责、撤销、变更或者确认违法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宗，占被申请行政复议宗数的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%，占行政给付总数的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%。行政复议后又被提起行政诉讼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宗，判决履行法定职责、履行给付职责、撤销、部分撤销、变更、确认违法或者确认无效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宗，占行政复议后又被提起行政诉讼宗数的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%，占行政给付总数的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%。行政给付直接被提起行政诉讼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宗，占行政给付总数的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%；判决履行法定职责、履行给付职责、撤销、部分撤销、变更、确认违法或者确认无效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宗，占直接被提起行政诉讼宗数的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%，占行政给付总数的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年度行政确认总数为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次。行政确认被申请行政复议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宗，占行政确认总数的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%；行政复议决定履行法定职责、撤销、变更或者确认违法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宗，占被申请行政复议宗数的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%，占行政确认总数的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%。行政复议后又被提起行政诉讼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宗，判决履行法定职责、撤销、部分撤销、变更、确认违法或者确认无效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宗，占行政复议后又被提起行政诉讼宗数的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%，占行政确认总数的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%。行政确认直接被提起行政诉讼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宗，占行政确认总数的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%；判决履行法定职责、撤销、部分撤销、变更、确认违法或者确认无效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宗，占直接被提起行政诉讼宗数的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%，占行政确认总数的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年度行政奖励总数为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次。本部门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年度行政奖励被申请行政复议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宗，占行政奖励总数的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%；行政复议决定履行法定职责、撤销、变更或者确认违法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宗，占被申请行政复议宗数的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%，占行政奖励总数的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%。行政复议后又被提起行政诉讼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宗，判决履行法定职责、撤销、部分撤销、变更、确认违法或者确认无效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宗，占行政复议后又被提起行政诉讼宗数的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%，占行政奖励总数的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%。行政奖励直接被提起行政诉讼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宗，占行政奖励总数的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%；判决履行法定职责、撤销、部分撤销、变更、确认违法或者确认无效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宗，占直接被提起行政诉讼宗数的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%，占行政奖励总数的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本部门</w:t>
      </w:r>
      <w:r>
        <w:rPr>
          <w:rFonts w:hint="eastAsia" w:ascii="仿宋_GB2312" w:hAnsi="仿宋_GB2312" w:cs="仿宋_GB2312"/>
          <w:szCs w:val="32"/>
          <w:lang w:val="en-US" w:eastAsia="zh-CN"/>
        </w:rPr>
        <w:t>2021</w:t>
      </w:r>
      <w:r>
        <w:rPr>
          <w:rFonts w:hint="eastAsia" w:ascii="仿宋_GB2312" w:hAnsi="仿宋_GB2312" w:cs="仿宋_GB2312"/>
          <w:szCs w:val="32"/>
        </w:rPr>
        <w:t>年度其他行政执法行为总数为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宗。其他行政执法行为被申请行政复议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</w:t>
      </w:r>
      <w:bookmarkStart w:id="0" w:name="_GoBack"/>
      <w:bookmarkEnd w:id="0"/>
      <w:r>
        <w:rPr>
          <w:rFonts w:hint="eastAsia" w:ascii="仿宋_GB2312" w:hAnsi="仿宋_GB2312" w:cs="仿宋_GB2312"/>
          <w:szCs w:val="32"/>
        </w:rPr>
        <w:t>占其他行政执法行为总数的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%；行政复议决定履行法定职责、撤销、变更或者确认违法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宗，占被申请行政复议宗数的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%，占其他行政执法行为总数的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%。行政复议后又被提起行政诉讼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宗，判决履行法定职责、撤销、部分撤销、变更、确认违法或者确认无效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宗，占行政复议后又被提起行政诉讼宗数的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%，占其他行政执法行为总数的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%。其他行政执法行为直接被提起行政诉讼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宗，占其他行政执法行为总数的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%；判决履行法定职责、撤销、部分撤销、变更、确认违法或者确认无效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宗，占直接被提起行政诉讼宗数的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%，占其他行政执法行为总数的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%。</w:t>
      </w:r>
    </w:p>
    <w:p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（注：“被申请行政复议和被提起行政诉讼”数量的统计范围为统计年度1月1日至12月31日期间作出复议决定和生效判决的数量。）</w:t>
      </w:r>
    </w:p>
    <w:p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sectPr>
      <w:footerReference r:id="rId5" w:type="default"/>
      <w:footerReference r:id="rId6" w:type="even"/>
      <w:pgSz w:w="11906" w:h="16838"/>
      <w:pgMar w:top="2098" w:right="1417" w:bottom="2041" w:left="1587" w:header="851" w:footer="992" w:gutter="0"/>
      <w:pgNumType w:fmt="numberInDash"/>
      <w:cols w:space="0" w:num="1"/>
      <w:docGrid w:type="linesAndChars" w:linePitch="577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LNJWO7QAAAABQEAAA8AAAAAAAAAAQAgAAAAOAAA&#10;AGRycy9kb3ducmV2LnhtbFBLAQIUABQAAAAIAIdO4kDwlM8swQEAAGgDAAAOAAAAAAAAAAEAIAAA&#10;ADU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OgN/7/HAQAAcA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LNJWO7QAAAABQEAAA8AAAAAAAAAAQAgAAAAOAAA&#10;AGRycy9kb3ducmV2LnhtbFBLAQIUABQAAAAIAIdO4kCLdNBOwQEAAGgDAAAOAAAAAAAAAAEAIAAA&#10;ADU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M6pebnPAAAABQEAAA8AAAAAAAAAAQAgAAAA&#10;OAAAAGRycy9kb3ducmV2LnhtbFBLAQIUABQAAAAIAIdO4kBdI+aVxQEAAHEDAAAOAAAAAAAAAAEA&#10;IAAAADQ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true"/>
  <w:bordersDoNotSurroundHeader w:val="true"/>
  <w:bordersDoNotSurroundFooter w:val="true"/>
  <w:documentProtection w:enforcement="0"/>
  <w:defaultTabStop w:val="420"/>
  <w:evenAndOddHeaders w:val="true"/>
  <w:drawingGridHorizontalSpacing w:val="159"/>
  <w:drawingGridVerticalSpacing w:val="28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C2C08"/>
    <w:rsid w:val="00067FDD"/>
    <w:rsid w:val="00094A23"/>
    <w:rsid w:val="000A78C3"/>
    <w:rsid w:val="000B7D0D"/>
    <w:rsid w:val="0011530A"/>
    <w:rsid w:val="00120A6B"/>
    <w:rsid w:val="00135A04"/>
    <w:rsid w:val="00214C8D"/>
    <w:rsid w:val="00225D6F"/>
    <w:rsid w:val="00255BC6"/>
    <w:rsid w:val="002652DA"/>
    <w:rsid w:val="002B6F9A"/>
    <w:rsid w:val="002D518F"/>
    <w:rsid w:val="002F62B6"/>
    <w:rsid w:val="003022ED"/>
    <w:rsid w:val="0039117B"/>
    <w:rsid w:val="003A5EFB"/>
    <w:rsid w:val="00476154"/>
    <w:rsid w:val="004C257D"/>
    <w:rsid w:val="004E1A52"/>
    <w:rsid w:val="0053426E"/>
    <w:rsid w:val="00592FBA"/>
    <w:rsid w:val="005A0BFC"/>
    <w:rsid w:val="005B780E"/>
    <w:rsid w:val="00622631"/>
    <w:rsid w:val="00655A4D"/>
    <w:rsid w:val="006C2462"/>
    <w:rsid w:val="006D4774"/>
    <w:rsid w:val="006E02C0"/>
    <w:rsid w:val="006E1230"/>
    <w:rsid w:val="006F3883"/>
    <w:rsid w:val="007601C9"/>
    <w:rsid w:val="00766DFC"/>
    <w:rsid w:val="00805638"/>
    <w:rsid w:val="00817291"/>
    <w:rsid w:val="00822A9E"/>
    <w:rsid w:val="00831181"/>
    <w:rsid w:val="00844A83"/>
    <w:rsid w:val="00857057"/>
    <w:rsid w:val="00883196"/>
    <w:rsid w:val="008C35E7"/>
    <w:rsid w:val="008E7FCA"/>
    <w:rsid w:val="00927A3E"/>
    <w:rsid w:val="009379F1"/>
    <w:rsid w:val="00944480"/>
    <w:rsid w:val="00944F8E"/>
    <w:rsid w:val="00967FAF"/>
    <w:rsid w:val="009F2613"/>
    <w:rsid w:val="00A220C8"/>
    <w:rsid w:val="00A27529"/>
    <w:rsid w:val="00A3081B"/>
    <w:rsid w:val="00A64999"/>
    <w:rsid w:val="00AB6CF8"/>
    <w:rsid w:val="00AC6205"/>
    <w:rsid w:val="00B51595"/>
    <w:rsid w:val="00B93425"/>
    <w:rsid w:val="00BD0CA3"/>
    <w:rsid w:val="00C04106"/>
    <w:rsid w:val="00C214D2"/>
    <w:rsid w:val="00C537C5"/>
    <w:rsid w:val="00C5551C"/>
    <w:rsid w:val="00CD0EE0"/>
    <w:rsid w:val="00CE4509"/>
    <w:rsid w:val="00D121EE"/>
    <w:rsid w:val="00D15907"/>
    <w:rsid w:val="00D27D88"/>
    <w:rsid w:val="00D41A7C"/>
    <w:rsid w:val="00D46C22"/>
    <w:rsid w:val="00D546A2"/>
    <w:rsid w:val="00D75C0B"/>
    <w:rsid w:val="00DD37A5"/>
    <w:rsid w:val="00DF1A88"/>
    <w:rsid w:val="00E2777A"/>
    <w:rsid w:val="00E414A3"/>
    <w:rsid w:val="00EB5A2E"/>
    <w:rsid w:val="00ED3D06"/>
    <w:rsid w:val="00EF07E6"/>
    <w:rsid w:val="00F31280"/>
    <w:rsid w:val="00F351C1"/>
    <w:rsid w:val="00F55A05"/>
    <w:rsid w:val="00F95B29"/>
    <w:rsid w:val="00FA3E02"/>
    <w:rsid w:val="00FE4CFF"/>
    <w:rsid w:val="017C0CC8"/>
    <w:rsid w:val="01872BE5"/>
    <w:rsid w:val="01966908"/>
    <w:rsid w:val="025A674D"/>
    <w:rsid w:val="051907D2"/>
    <w:rsid w:val="056744C8"/>
    <w:rsid w:val="05F431E2"/>
    <w:rsid w:val="06CC2C08"/>
    <w:rsid w:val="077F555D"/>
    <w:rsid w:val="0AA27F1B"/>
    <w:rsid w:val="0AB73ECE"/>
    <w:rsid w:val="0B8F792F"/>
    <w:rsid w:val="0C0E18C8"/>
    <w:rsid w:val="0C790317"/>
    <w:rsid w:val="0C8E45E9"/>
    <w:rsid w:val="0CAF767C"/>
    <w:rsid w:val="0E3F3A61"/>
    <w:rsid w:val="0EB62CF8"/>
    <w:rsid w:val="0F677F01"/>
    <w:rsid w:val="107D1FCD"/>
    <w:rsid w:val="118207AB"/>
    <w:rsid w:val="11F20A7C"/>
    <w:rsid w:val="133630E1"/>
    <w:rsid w:val="145027B1"/>
    <w:rsid w:val="15C11FC8"/>
    <w:rsid w:val="15CD6B86"/>
    <w:rsid w:val="15CF5091"/>
    <w:rsid w:val="16676A8C"/>
    <w:rsid w:val="16CF7523"/>
    <w:rsid w:val="174933FE"/>
    <w:rsid w:val="186F14E5"/>
    <w:rsid w:val="18C965C3"/>
    <w:rsid w:val="1ABF2D10"/>
    <w:rsid w:val="1BC265D7"/>
    <w:rsid w:val="1C1C619D"/>
    <w:rsid w:val="1C82799B"/>
    <w:rsid w:val="1DAF42C9"/>
    <w:rsid w:val="1F401D55"/>
    <w:rsid w:val="1F7A2DD1"/>
    <w:rsid w:val="1F7F1350"/>
    <w:rsid w:val="1FC11B23"/>
    <w:rsid w:val="1FFB90F6"/>
    <w:rsid w:val="203832D9"/>
    <w:rsid w:val="21D34525"/>
    <w:rsid w:val="21FF78EB"/>
    <w:rsid w:val="224D707F"/>
    <w:rsid w:val="22D56728"/>
    <w:rsid w:val="22E36159"/>
    <w:rsid w:val="23006D77"/>
    <w:rsid w:val="23FF2408"/>
    <w:rsid w:val="248E6885"/>
    <w:rsid w:val="25C84C18"/>
    <w:rsid w:val="267C1C05"/>
    <w:rsid w:val="27412D29"/>
    <w:rsid w:val="277B3816"/>
    <w:rsid w:val="27B51194"/>
    <w:rsid w:val="27EC1FC2"/>
    <w:rsid w:val="283C1A7D"/>
    <w:rsid w:val="292C4B8F"/>
    <w:rsid w:val="29F964D0"/>
    <w:rsid w:val="2A74152C"/>
    <w:rsid w:val="2B382B0E"/>
    <w:rsid w:val="2B8A5EB6"/>
    <w:rsid w:val="2C247B6B"/>
    <w:rsid w:val="2CAE5795"/>
    <w:rsid w:val="2D364AB0"/>
    <w:rsid w:val="2DC15D49"/>
    <w:rsid w:val="30182213"/>
    <w:rsid w:val="32F62A16"/>
    <w:rsid w:val="341552E8"/>
    <w:rsid w:val="349D1890"/>
    <w:rsid w:val="365F48CE"/>
    <w:rsid w:val="36EE4A53"/>
    <w:rsid w:val="37CF0775"/>
    <w:rsid w:val="38132CE1"/>
    <w:rsid w:val="38B340BE"/>
    <w:rsid w:val="39C278BE"/>
    <w:rsid w:val="3ABC4995"/>
    <w:rsid w:val="3AC30DE9"/>
    <w:rsid w:val="3C356340"/>
    <w:rsid w:val="3C423519"/>
    <w:rsid w:val="3D76189A"/>
    <w:rsid w:val="3E4F40C0"/>
    <w:rsid w:val="3FB116F5"/>
    <w:rsid w:val="3FFA0804"/>
    <w:rsid w:val="404D6504"/>
    <w:rsid w:val="40611EC3"/>
    <w:rsid w:val="409B2A2E"/>
    <w:rsid w:val="4151617B"/>
    <w:rsid w:val="41651385"/>
    <w:rsid w:val="416B304A"/>
    <w:rsid w:val="422E0B89"/>
    <w:rsid w:val="429D0560"/>
    <w:rsid w:val="43A35EDB"/>
    <w:rsid w:val="45387A12"/>
    <w:rsid w:val="469D0C35"/>
    <w:rsid w:val="46BD0CFA"/>
    <w:rsid w:val="476F3D8D"/>
    <w:rsid w:val="47C5449E"/>
    <w:rsid w:val="47E6697F"/>
    <w:rsid w:val="48A532A4"/>
    <w:rsid w:val="4A3E7FBF"/>
    <w:rsid w:val="4BD941A8"/>
    <w:rsid w:val="4E413E2A"/>
    <w:rsid w:val="4E7F6117"/>
    <w:rsid w:val="4E9866C1"/>
    <w:rsid w:val="501A03F9"/>
    <w:rsid w:val="504043D6"/>
    <w:rsid w:val="506F58B3"/>
    <w:rsid w:val="509343CF"/>
    <w:rsid w:val="5155084A"/>
    <w:rsid w:val="51D46D26"/>
    <w:rsid w:val="520B45FC"/>
    <w:rsid w:val="54CC53E7"/>
    <w:rsid w:val="556835AF"/>
    <w:rsid w:val="560B476F"/>
    <w:rsid w:val="577C5CD9"/>
    <w:rsid w:val="57E73B45"/>
    <w:rsid w:val="58300C2B"/>
    <w:rsid w:val="58684306"/>
    <w:rsid w:val="58A96A65"/>
    <w:rsid w:val="5BBDEEB1"/>
    <w:rsid w:val="5D2C1C9D"/>
    <w:rsid w:val="5EB9A0DE"/>
    <w:rsid w:val="5FBE1899"/>
    <w:rsid w:val="601D1F2F"/>
    <w:rsid w:val="609F0EF1"/>
    <w:rsid w:val="60CA276E"/>
    <w:rsid w:val="61CA368F"/>
    <w:rsid w:val="621601F4"/>
    <w:rsid w:val="62F443EA"/>
    <w:rsid w:val="63242C43"/>
    <w:rsid w:val="63AF1D74"/>
    <w:rsid w:val="64075019"/>
    <w:rsid w:val="65653F26"/>
    <w:rsid w:val="66A7541A"/>
    <w:rsid w:val="67A24264"/>
    <w:rsid w:val="67DF37DB"/>
    <w:rsid w:val="69C26297"/>
    <w:rsid w:val="69EE71E0"/>
    <w:rsid w:val="6B3B402C"/>
    <w:rsid w:val="6B6E24E2"/>
    <w:rsid w:val="6C0C2471"/>
    <w:rsid w:val="6C125B1B"/>
    <w:rsid w:val="6D7229EE"/>
    <w:rsid w:val="6D776906"/>
    <w:rsid w:val="6DA30046"/>
    <w:rsid w:val="6E9A1BF5"/>
    <w:rsid w:val="6F1618ED"/>
    <w:rsid w:val="6F26771D"/>
    <w:rsid w:val="6F613067"/>
    <w:rsid w:val="6F6E69A8"/>
    <w:rsid w:val="70A90B65"/>
    <w:rsid w:val="710831DA"/>
    <w:rsid w:val="71AD210D"/>
    <w:rsid w:val="7266682C"/>
    <w:rsid w:val="73255A9E"/>
    <w:rsid w:val="75196980"/>
    <w:rsid w:val="7541095B"/>
    <w:rsid w:val="756F3B62"/>
    <w:rsid w:val="758B29D9"/>
    <w:rsid w:val="75A13AF6"/>
    <w:rsid w:val="764E1CE1"/>
    <w:rsid w:val="76E92F60"/>
    <w:rsid w:val="77911397"/>
    <w:rsid w:val="77FA0163"/>
    <w:rsid w:val="7841059E"/>
    <w:rsid w:val="784A7797"/>
    <w:rsid w:val="78A20B76"/>
    <w:rsid w:val="795D20EC"/>
    <w:rsid w:val="7A21059F"/>
    <w:rsid w:val="7A7D988B"/>
    <w:rsid w:val="7AC14FD3"/>
    <w:rsid w:val="7BED6E52"/>
    <w:rsid w:val="7C5A4482"/>
    <w:rsid w:val="7C9A79C4"/>
    <w:rsid w:val="7CCA413D"/>
    <w:rsid w:val="7D8F5FE7"/>
    <w:rsid w:val="7D994B0A"/>
    <w:rsid w:val="7DBEB2BC"/>
    <w:rsid w:val="7DCF69F1"/>
    <w:rsid w:val="7ED2433A"/>
    <w:rsid w:val="7EFE16CE"/>
    <w:rsid w:val="7F164907"/>
    <w:rsid w:val="7FBE1FFA"/>
    <w:rsid w:val="7FDF2EBA"/>
    <w:rsid w:val="B14FA4A4"/>
    <w:rsid w:val="BD2BA32C"/>
    <w:rsid w:val="BDABACE8"/>
    <w:rsid w:val="D77F8D33"/>
    <w:rsid w:val="D7C71DA3"/>
    <w:rsid w:val="DFFF67BE"/>
    <w:rsid w:val="EFF51CF9"/>
    <w:rsid w:val="F5770EC3"/>
    <w:rsid w:val="F8FD6CE8"/>
    <w:rsid w:val="F9FD3506"/>
    <w:rsid w:val="FBAD9383"/>
    <w:rsid w:val="FC9D62E8"/>
    <w:rsid w:val="FDDBA8E4"/>
    <w:rsid w:val="FEABB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0" w:semiHidden="0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locked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10">
    <w:name w:val="page number"/>
    <w:basedOn w:val="9"/>
    <w:qFormat/>
    <w:locked/>
    <w:uiPriority w:val="0"/>
  </w:style>
  <w:style w:type="character" w:customStyle="1" w:styleId="11">
    <w:name w:val="页脚 Char"/>
    <w:basedOn w:val="9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9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font31"/>
    <w:qFormat/>
    <w:uiPriority w:val="99"/>
    <w:rPr>
      <w:rFonts w:ascii="仿宋_GB2312" w:eastAsia="仿宋_GB2312"/>
      <w:color w:val="FF0000"/>
      <w:sz w:val="24"/>
      <w:u w:val="none"/>
    </w:rPr>
  </w:style>
  <w:style w:type="character" w:customStyle="1" w:styleId="14">
    <w:name w:val="font21"/>
    <w:qFormat/>
    <w:uiPriority w:val="99"/>
    <w:rPr>
      <w:rFonts w:ascii="仿宋_GB2312" w:eastAsia="仿宋_GB2312"/>
      <w:color w:val="000000"/>
      <w:sz w:val="24"/>
      <w:u w:val="none"/>
    </w:rPr>
  </w:style>
  <w:style w:type="character" w:customStyle="1" w:styleId="15">
    <w:name w:val="日期 Char"/>
    <w:basedOn w:val="9"/>
    <w:link w:val="3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浙江省人民政府法制办公室</Company>
  <Pages>14</Pages>
  <Words>821</Words>
  <Characters>4685</Characters>
  <Lines>39</Lines>
  <Paragraphs>10</Paragraphs>
  <TotalTime>3087</TotalTime>
  <ScaleCrop>false</ScaleCrop>
  <LinksUpToDate>false</LinksUpToDate>
  <CharactersWithSpaces>5496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2019-10-17T07:06:00Z</dcterms:created>
  <dc:creator>陈俊(chenj.zffzjdc)</dc:creator>
  <cp:lastModifiedBy>user</cp:lastModifiedBy>
  <cp:lastPrinted>2022-01-28T23:56:00Z</cp:lastPrinted>
  <dcterms:modified xsi:type="dcterms:W3CDTF">2022-01-28T17:23:57Z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