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hAnsi="黑体" w:eastAsia="黑体" w:cs="黑体"/>
          <w:color w:val="000000" w:themeColor="text1"/>
          <w:kern w:val="0"/>
          <w:sz w:val="44"/>
          <w:szCs w:val="44"/>
        </w:rPr>
      </w:pPr>
      <w:r>
        <w:rPr>
          <w:rFonts w:hint="eastAsia" w:ascii="黑体" w:hAnsi="黑体" w:eastAsia="黑体" w:cs="黑体"/>
          <w:color w:val="000000" w:themeColor="text1"/>
          <w:kern w:val="0"/>
          <w:sz w:val="44"/>
          <w:szCs w:val="44"/>
        </w:rPr>
        <w:t>附件1</w:t>
      </w:r>
    </w:p>
    <w:p>
      <w:pPr>
        <w:keepNext w:val="0"/>
        <w:keepLines w:val="0"/>
        <w:pageBreakBefore w:val="0"/>
        <w:widowControl/>
        <w:kinsoku/>
        <w:wordWrap/>
        <w:overflowPunct/>
        <w:topLinePunct w:val="0"/>
        <w:autoSpaceDE/>
        <w:autoSpaceDN/>
        <w:bidi w:val="0"/>
        <w:adjustRightInd/>
        <w:snapToGrid/>
        <w:spacing w:line="360" w:lineRule="auto"/>
        <w:ind w:firstLine="480"/>
        <w:jc w:val="both"/>
        <w:textAlignment w:val="auto"/>
        <w:rPr>
          <w:rFonts w:ascii="仿宋_GB2312" w:hAnsi="华文中宋" w:eastAsia="仿宋_GB2312" w:cs="Arial"/>
          <w:b/>
          <w:color w:val="000000" w:themeColor="text1"/>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asciiTheme="majorEastAsia" w:hAnsiTheme="majorEastAsia" w:eastAsiaTheme="majorEastAsia" w:cstheme="majorEastAsia"/>
          <w:b/>
          <w:bCs/>
          <w:color w:val="000000" w:themeColor="text1"/>
          <w:kern w:val="0"/>
          <w:sz w:val="36"/>
          <w:szCs w:val="36"/>
        </w:rPr>
      </w:pPr>
      <w:r>
        <w:rPr>
          <w:rFonts w:hint="eastAsia" w:asciiTheme="majorEastAsia" w:hAnsiTheme="majorEastAsia" w:eastAsiaTheme="majorEastAsia" w:cstheme="majorEastAsia"/>
          <w:b/>
          <w:color w:val="000000" w:themeColor="text1"/>
          <w:kern w:val="0"/>
          <w:sz w:val="36"/>
          <w:szCs w:val="36"/>
        </w:rPr>
        <w:t>新能源、宠物用品展区展位申请相关说明</w:t>
      </w:r>
    </w:p>
    <w:p>
      <w:pPr>
        <w:keepNext w:val="0"/>
        <w:keepLines w:val="0"/>
        <w:pageBreakBefore w:val="0"/>
        <w:widowControl/>
        <w:kinsoku/>
        <w:wordWrap/>
        <w:overflowPunct/>
        <w:topLinePunct w:val="0"/>
        <w:autoSpaceDE/>
        <w:autoSpaceDN/>
        <w:bidi w:val="0"/>
        <w:adjustRightInd/>
        <w:snapToGrid/>
        <w:spacing w:line="360" w:lineRule="auto"/>
        <w:ind w:firstLine="480"/>
        <w:jc w:val="both"/>
        <w:textAlignment w:val="auto"/>
        <w:rPr>
          <w:rFonts w:ascii="仿宋_GB2312" w:eastAsia="仿宋_GB2312" w:cs="宋体" w:hAnsiTheme="minorEastAsia"/>
          <w:b/>
          <w:bCs/>
          <w:color w:val="000000" w:themeColor="text1"/>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42" w:firstLineChars="200"/>
        <w:jc w:val="both"/>
        <w:textAlignment w:val="auto"/>
        <w:rPr>
          <w:rFonts w:ascii="黑体" w:hAnsi="黑体" w:eastAsia="黑体" w:cs="宋体"/>
          <w:b/>
          <w:color w:val="000000" w:themeColor="text1"/>
          <w:kern w:val="0"/>
          <w:sz w:val="32"/>
          <w:szCs w:val="32"/>
        </w:rPr>
      </w:pPr>
      <w:r>
        <w:rPr>
          <w:rFonts w:hint="eastAsia" w:ascii="黑体" w:hAnsi="黑体" w:eastAsia="黑体" w:cs="宋体"/>
          <w:b/>
          <w:color w:val="000000" w:themeColor="text1"/>
          <w:kern w:val="0"/>
          <w:sz w:val="32"/>
          <w:szCs w:val="32"/>
        </w:rPr>
        <w:t>一、展位使用条件</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（一）参展企业资格标准</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1.依法取得法人营业执照、进出口企业资格证书或对外贸易经营者备案登记证明，并已办理进出口企业代码；</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2.展品属于展区规定的展品范围（详见</w:t>
      </w:r>
      <w:r>
        <w:rPr>
          <w:rFonts w:hint="eastAsia" w:ascii="仿宋_GB2312" w:eastAsia="仿宋_GB2312" w:cs="宋体" w:hAnsiTheme="minorEastAsia"/>
          <w:color w:val="000000" w:themeColor="text1"/>
          <w:kern w:val="0"/>
          <w:sz w:val="32"/>
          <w:szCs w:val="32"/>
          <w:lang w:eastAsia="zh-CN"/>
        </w:rPr>
        <w:t>广交会官网</w:t>
      </w:r>
      <w:r>
        <w:rPr>
          <w:rFonts w:hint="eastAsia" w:ascii="仿宋" w:hAnsi="仿宋" w:eastAsia="仿宋" w:cs="仿宋"/>
          <w:kern w:val="0"/>
          <w:sz w:val="32"/>
          <w:szCs w:val="32"/>
        </w:rPr>
        <w:t>https://www.cantonfair. org.cn/news/article/5ef18167e1f63763c7445470</w:t>
      </w:r>
      <w:r>
        <w:rPr>
          <w:rFonts w:hint="eastAsia" w:ascii="仿宋" w:hAnsi="仿宋" w:eastAsia="仿宋" w:cs="仿宋"/>
          <w:color w:val="000000" w:themeColor="text1"/>
          <w:kern w:val="0"/>
          <w:sz w:val="32"/>
          <w:szCs w:val="32"/>
        </w:rPr>
        <w:t>）</w:t>
      </w:r>
      <w:r>
        <w:rPr>
          <w:rFonts w:hint="eastAsia" w:ascii="仿宋_GB2312" w:eastAsia="仿宋_GB2312" w:cs="宋体" w:hAnsiTheme="minorEastAsia"/>
          <w:color w:val="000000" w:themeColor="text1"/>
          <w:kern w:val="0"/>
          <w:sz w:val="32"/>
          <w:szCs w:val="32"/>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3.广交会统计口径下20</w:t>
      </w:r>
      <w:r>
        <w:rPr>
          <w:rFonts w:hint="eastAsia" w:ascii="仿宋_GB2312" w:eastAsia="仿宋_GB2312" w:cs="宋体" w:hAnsiTheme="minorEastAsia"/>
          <w:color w:val="000000" w:themeColor="text1"/>
          <w:kern w:val="0"/>
          <w:sz w:val="32"/>
          <w:szCs w:val="32"/>
          <w:lang w:val="en-US" w:eastAsia="zh-CN"/>
        </w:rPr>
        <w:t>20</w:t>
      </w:r>
      <w:r>
        <w:rPr>
          <w:rFonts w:hint="eastAsia" w:ascii="仿宋_GB2312" w:eastAsia="仿宋_GB2312" w:cs="宋体" w:hAnsiTheme="minorEastAsia"/>
          <w:color w:val="000000" w:themeColor="text1"/>
          <w:kern w:val="0"/>
          <w:sz w:val="32"/>
          <w:szCs w:val="32"/>
        </w:rPr>
        <w:t>年出口额达75万美元（含），或</w:t>
      </w:r>
      <w:r>
        <w:rPr>
          <w:rFonts w:hint="eastAsia" w:ascii="仿宋_GB2312" w:eastAsia="仿宋_GB2312" w:cs="宋体" w:hAnsiTheme="minorEastAsia"/>
          <w:color w:val="000000" w:themeColor="text1"/>
          <w:kern w:val="0"/>
          <w:sz w:val="32"/>
          <w:szCs w:val="32"/>
          <w:lang w:val="en-US" w:eastAsia="zh-CN"/>
        </w:rPr>
        <w:t>2020、2021</w:t>
      </w:r>
      <w:r>
        <w:rPr>
          <w:rFonts w:hint="eastAsia" w:ascii="仿宋_GB2312" w:eastAsia="仿宋_GB2312" w:cs="宋体" w:hAnsiTheme="minorEastAsia"/>
          <w:color w:val="000000" w:themeColor="text1"/>
          <w:kern w:val="0"/>
          <w:sz w:val="32"/>
          <w:szCs w:val="32"/>
        </w:rPr>
        <w:t>年</w:t>
      </w:r>
      <w:r>
        <w:rPr>
          <w:rFonts w:hint="eastAsia" w:ascii="仿宋_GB2312" w:eastAsia="仿宋_GB2312" w:cs="宋体" w:hAnsiTheme="minorEastAsia"/>
          <w:color w:val="000000" w:themeColor="text1"/>
          <w:kern w:val="0"/>
          <w:sz w:val="32"/>
          <w:szCs w:val="32"/>
          <w:lang w:eastAsia="zh-CN"/>
        </w:rPr>
        <w:t>任一年度</w:t>
      </w:r>
      <w:r>
        <w:rPr>
          <w:rFonts w:hint="eastAsia" w:ascii="仿宋_GB2312" w:eastAsia="仿宋_GB2312" w:cs="宋体" w:hAnsiTheme="minorEastAsia"/>
          <w:color w:val="000000" w:themeColor="text1"/>
          <w:kern w:val="0"/>
          <w:sz w:val="32"/>
          <w:szCs w:val="32"/>
        </w:rPr>
        <w:t>国内销售额达500万元人民币（含）。其中，出口额核定依据为海关统计，国内销售额核定依据为经分团审核确认的增值税纳税申报表。</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（二）属下列情况之一的展品禁止参展</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1.《中国进出口商品交易会参展展品范围（出口展）》规定之外的展品。</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2.不符合《中华人民共和国产品质量法》、《中华人民共和国进出口商品检验法》及其他有关出口产品质量法律法规规定的展品。</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3.涉及商标、专利、版权，但未取得合法权利证书或使用许可的展品。</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4.被司法机关、仲裁机关或知识产权行政管理机关认定侵权的展品。</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5.在商务或出入境检验检疫机构等质量监督管理部门有不良记录且未经复检合格的展品。</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（三）属下列情况之一的企业禁止参展</w:t>
      </w:r>
    </w:p>
    <w:p>
      <w:pPr>
        <w:keepNext w:val="0"/>
        <w:keepLines w:val="0"/>
        <w:pageBreakBefore w:val="0"/>
        <w:widowControl/>
        <w:kinsoku/>
        <w:wordWrap/>
        <w:overflowPunct/>
        <w:topLinePunct w:val="0"/>
        <w:autoSpaceDE/>
        <w:autoSpaceDN/>
        <w:bidi w:val="0"/>
        <w:adjustRightInd/>
        <w:snapToGrid/>
        <w:spacing w:line="360" w:lineRule="auto"/>
        <w:ind w:firstLine="636" w:firstLineChars="199"/>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1.商务部及地方各级商务主管部门向社会公告的违法违规企业，在公告期内禁止参展。</w:t>
      </w:r>
    </w:p>
    <w:p>
      <w:pPr>
        <w:keepNext w:val="0"/>
        <w:keepLines w:val="0"/>
        <w:pageBreakBefore w:val="0"/>
        <w:widowControl/>
        <w:kinsoku/>
        <w:wordWrap/>
        <w:overflowPunct/>
        <w:topLinePunct w:val="0"/>
        <w:autoSpaceDE/>
        <w:autoSpaceDN/>
        <w:bidi w:val="0"/>
        <w:adjustRightInd/>
        <w:snapToGrid/>
        <w:spacing w:line="360" w:lineRule="auto"/>
        <w:ind w:firstLine="636" w:firstLineChars="199"/>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2.国家工商、海关、税务、质检、外汇、环保等部门通报的违法违规企业，在处罚期限内禁止参展；无处罚期限的，从处罚之日起连续六届禁止参展。</w:t>
      </w:r>
    </w:p>
    <w:p>
      <w:pPr>
        <w:keepNext w:val="0"/>
        <w:keepLines w:val="0"/>
        <w:pageBreakBefore w:val="0"/>
        <w:widowControl/>
        <w:kinsoku/>
        <w:wordWrap/>
        <w:overflowPunct/>
        <w:topLinePunct w:val="0"/>
        <w:autoSpaceDE/>
        <w:autoSpaceDN/>
        <w:bidi w:val="0"/>
        <w:adjustRightInd/>
        <w:snapToGrid/>
        <w:spacing w:line="360" w:lineRule="auto"/>
        <w:ind w:firstLine="636" w:firstLineChars="199"/>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3.因违规转让或转（租）卖广交会展位、涉嫌重大展品质量与贸易纠纷投诉、知识产权侵权等违反大会相关规定，并处于被取消参展资格处罚期限内的企业。</w:t>
      </w:r>
    </w:p>
    <w:p>
      <w:pPr>
        <w:keepNext w:val="0"/>
        <w:keepLines w:val="0"/>
        <w:pageBreakBefore w:val="0"/>
        <w:widowControl/>
        <w:kinsoku/>
        <w:wordWrap/>
        <w:overflowPunct/>
        <w:topLinePunct w:val="0"/>
        <w:autoSpaceDE/>
        <w:autoSpaceDN/>
        <w:bidi w:val="0"/>
        <w:adjustRightInd/>
        <w:snapToGrid/>
        <w:spacing w:line="360" w:lineRule="auto"/>
        <w:ind w:firstLine="636" w:firstLineChars="199"/>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4.因拒不服从大会管理、破坏展览秩序等其他行为，对广交会声誉或正常运营造成较大不良影响，被取消参展资格的企业。</w:t>
      </w:r>
    </w:p>
    <w:p>
      <w:pPr>
        <w:keepNext w:val="0"/>
        <w:keepLines w:val="0"/>
        <w:pageBreakBefore w:val="0"/>
        <w:widowControl/>
        <w:kinsoku/>
        <w:wordWrap/>
        <w:overflowPunct/>
        <w:topLinePunct w:val="0"/>
        <w:autoSpaceDE/>
        <w:autoSpaceDN/>
        <w:bidi w:val="0"/>
        <w:adjustRightInd/>
        <w:snapToGrid/>
        <w:spacing w:line="360" w:lineRule="auto"/>
        <w:ind w:firstLine="636" w:firstLineChars="199"/>
        <w:jc w:val="both"/>
        <w:textAlignment w:val="auto"/>
        <w:rPr>
          <w:rFonts w:ascii="黑体" w:hAnsi="黑体" w:eastAsia="黑体" w:cs="宋体"/>
          <w:b w:val="0"/>
          <w:bCs w:val="0"/>
          <w:color w:val="000000" w:themeColor="text1"/>
          <w:kern w:val="0"/>
          <w:sz w:val="32"/>
          <w:szCs w:val="32"/>
        </w:rPr>
      </w:pPr>
      <w:r>
        <w:rPr>
          <w:rFonts w:hint="eastAsia" w:ascii="黑体" w:hAnsi="黑体" w:eastAsia="黑体" w:cs="宋体"/>
          <w:b w:val="0"/>
          <w:bCs w:val="0"/>
          <w:color w:val="000000" w:themeColor="text1"/>
          <w:kern w:val="0"/>
          <w:sz w:val="32"/>
          <w:szCs w:val="32"/>
        </w:rPr>
        <w:t>二、参展申请材料清单</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_GB2312" w:eastAsia="仿宋_GB2312" w:cs="宋体" w:hAnsiTheme="minorEastAsia"/>
          <w:color w:val="000000" w:themeColor="text1"/>
          <w:kern w:val="0"/>
          <w:sz w:val="32"/>
          <w:szCs w:val="32"/>
          <w:lang w:val="en-US" w:eastAsia="zh-CN"/>
        </w:rPr>
      </w:pPr>
      <w:r>
        <w:rPr>
          <w:rFonts w:hint="eastAsia" w:ascii="仿宋_GB2312" w:eastAsia="仿宋_GB2312" w:cs="宋体" w:hAnsiTheme="minorEastAsia"/>
          <w:color w:val="000000" w:themeColor="text1"/>
          <w:kern w:val="0"/>
          <w:sz w:val="32"/>
          <w:szCs w:val="32"/>
        </w:rPr>
        <w:t>（一）</w:t>
      </w:r>
      <w:r>
        <w:rPr>
          <w:rFonts w:hint="eastAsia" w:ascii="仿宋_GB2312" w:eastAsia="仿宋_GB2312" w:cs="宋体" w:hAnsiTheme="minorEastAsia"/>
          <w:color w:val="000000" w:themeColor="text1"/>
          <w:kern w:val="0"/>
          <w:sz w:val="32"/>
          <w:szCs w:val="32"/>
          <w:lang w:eastAsia="zh-CN"/>
        </w:rPr>
        <w:t>经盖章确认的参展申请表（线下提交）。</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（二）企业营业执照</w:t>
      </w:r>
      <w:r>
        <w:rPr>
          <w:rFonts w:hint="eastAsia" w:ascii="仿宋_GB2312" w:eastAsia="仿宋_GB2312" w:cs="宋体" w:hAnsiTheme="minorEastAsia"/>
          <w:color w:val="000000" w:themeColor="text1"/>
          <w:kern w:val="0"/>
          <w:sz w:val="32"/>
          <w:szCs w:val="32"/>
          <w:lang w:eastAsia="zh-CN"/>
        </w:rPr>
        <w:t>（线上提交）</w:t>
      </w:r>
      <w:r>
        <w:rPr>
          <w:rFonts w:hint="eastAsia" w:ascii="仿宋_GB2312" w:eastAsia="仿宋_GB2312" w:cs="宋体" w:hAnsiTheme="minorEastAsia"/>
          <w:color w:val="000000" w:themeColor="text1"/>
          <w:kern w:val="0"/>
          <w:sz w:val="32"/>
          <w:szCs w:val="32"/>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lang w:eastAsia="zh-CN"/>
        </w:rPr>
        <w:t>（三）</w:t>
      </w:r>
      <w:r>
        <w:rPr>
          <w:rFonts w:hint="eastAsia" w:ascii="仿宋_GB2312" w:eastAsia="仿宋_GB2312" w:cs="宋体" w:hAnsiTheme="minorEastAsia"/>
          <w:color w:val="000000" w:themeColor="text1"/>
          <w:kern w:val="0"/>
          <w:sz w:val="32"/>
          <w:szCs w:val="32"/>
        </w:rPr>
        <w:t>进出口企业资格证书或外贸经营者备案登记证明</w:t>
      </w:r>
      <w:r>
        <w:rPr>
          <w:rFonts w:hint="eastAsia" w:ascii="仿宋_GB2312" w:eastAsia="仿宋_GB2312" w:cs="宋体" w:hAnsiTheme="minorEastAsia"/>
          <w:color w:val="000000" w:themeColor="text1"/>
          <w:kern w:val="0"/>
          <w:sz w:val="32"/>
          <w:szCs w:val="32"/>
          <w:lang w:eastAsia="zh-CN"/>
        </w:rPr>
        <w:t>（线上提交）</w:t>
      </w:r>
      <w:r>
        <w:rPr>
          <w:rFonts w:hint="eastAsia" w:ascii="仿宋_GB2312" w:eastAsia="仿宋_GB2312" w:cs="宋体" w:hAnsiTheme="minorEastAsia"/>
          <w:color w:val="000000" w:themeColor="text1"/>
          <w:kern w:val="0"/>
          <w:sz w:val="32"/>
          <w:szCs w:val="32"/>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w:t>
      </w:r>
      <w:r>
        <w:rPr>
          <w:rFonts w:hint="eastAsia" w:ascii="仿宋_GB2312" w:eastAsia="仿宋_GB2312" w:cs="宋体" w:hAnsiTheme="minorEastAsia"/>
          <w:color w:val="000000" w:themeColor="text1"/>
          <w:kern w:val="0"/>
          <w:sz w:val="32"/>
          <w:szCs w:val="32"/>
          <w:lang w:eastAsia="zh-CN"/>
        </w:rPr>
        <w:t>四</w:t>
      </w:r>
      <w:r>
        <w:rPr>
          <w:rFonts w:hint="eastAsia" w:ascii="仿宋_GB2312" w:eastAsia="仿宋_GB2312" w:cs="宋体" w:hAnsiTheme="minorEastAsia"/>
          <w:color w:val="000000" w:themeColor="text1"/>
          <w:kern w:val="0"/>
          <w:sz w:val="32"/>
          <w:szCs w:val="32"/>
        </w:rPr>
        <w:t>）企业海关编码对应的海关报关注册登记证书。如需使用全资或控股子公司海关编码的，</w:t>
      </w:r>
      <w:r>
        <w:rPr>
          <w:rFonts w:hint="eastAsia" w:ascii="仿宋_GB2312" w:eastAsia="仿宋_GB2312" w:cs="宋体" w:hAnsiTheme="minorEastAsia"/>
          <w:color w:val="000000" w:themeColor="text1"/>
          <w:kern w:val="0"/>
          <w:sz w:val="32"/>
          <w:szCs w:val="32"/>
          <w:lang w:eastAsia="zh-CN"/>
        </w:rPr>
        <w:t>需</w:t>
      </w:r>
      <w:r>
        <w:rPr>
          <w:rFonts w:hint="eastAsia" w:ascii="仿宋_GB2312" w:eastAsia="仿宋_GB2312" w:cs="宋体" w:hAnsiTheme="minorEastAsia"/>
          <w:color w:val="000000" w:themeColor="text1"/>
          <w:kern w:val="0"/>
          <w:sz w:val="32"/>
          <w:szCs w:val="32"/>
        </w:rPr>
        <w:t>提交相关股权关系的第三方证明文件</w:t>
      </w:r>
      <w:r>
        <w:rPr>
          <w:rFonts w:hint="eastAsia" w:ascii="仿宋_GB2312" w:eastAsia="仿宋_GB2312" w:cs="宋体" w:hAnsiTheme="minorEastAsia"/>
          <w:color w:val="000000" w:themeColor="text1"/>
          <w:kern w:val="0"/>
          <w:sz w:val="32"/>
          <w:szCs w:val="32"/>
          <w:lang w:eastAsia="zh-CN"/>
        </w:rPr>
        <w:t>（线上提交）</w:t>
      </w:r>
      <w:r>
        <w:rPr>
          <w:rFonts w:hint="eastAsia" w:ascii="仿宋_GB2312" w:eastAsia="仿宋_GB2312" w:cs="宋体" w:hAnsiTheme="minorEastAsia"/>
          <w:color w:val="000000" w:themeColor="text1"/>
          <w:kern w:val="0"/>
          <w:sz w:val="32"/>
          <w:szCs w:val="32"/>
        </w:rPr>
        <w:t>。</w:t>
      </w:r>
    </w:p>
    <w:p>
      <w:pPr>
        <w:keepNext w:val="0"/>
        <w:keepLines w:val="0"/>
        <w:pageBreakBefore w:val="0"/>
        <w:widowControl/>
        <w:kinsoku/>
        <w:wordWrap/>
        <w:overflowPunct/>
        <w:topLinePunct w:val="0"/>
        <w:autoSpaceDE/>
        <w:autoSpaceDN/>
        <w:bidi w:val="0"/>
        <w:adjustRightInd/>
        <w:snapToGrid/>
        <w:spacing w:line="360" w:lineRule="auto"/>
        <w:ind w:firstLine="636" w:firstLineChars="199"/>
        <w:jc w:val="both"/>
        <w:textAlignment w:val="auto"/>
        <w:rPr>
          <w:rFonts w:hint="eastAsia" w:ascii="仿宋_GB2312" w:eastAsia="仿宋_GB2312" w:cs="宋体" w:hAnsiTheme="minorEastAsia"/>
          <w:color w:val="000000" w:themeColor="text1"/>
          <w:kern w:val="0"/>
          <w:sz w:val="32"/>
          <w:szCs w:val="32"/>
          <w:lang w:val="en-US" w:eastAsia="zh-CN"/>
        </w:rPr>
      </w:pPr>
      <w:r>
        <w:rPr>
          <w:rFonts w:hint="eastAsia" w:ascii="仿宋_GB2312" w:eastAsia="仿宋_GB2312" w:cs="宋体" w:hAnsiTheme="minorEastAsia"/>
          <w:color w:val="000000" w:themeColor="text1"/>
          <w:kern w:val="0"/>
          <w:sz w:val="32"/>
          <w:szCs w:val="32"/>
        </w:rPr>
        <w:t>（</w:t>
      </w:r>
      <w:r>
        <w:rPr>
          <w:rFonts w:hint="eastAsia" w:ascii="仿宋_GB2312" w:eastAsia="仿宋_GB2312" w:cs="宋体" w:hAnsiTheme="minorEastAsia"/>
          <w:color w:val="000000" w:themeColor="text1"/>
          <w:kern w:val="0"/>
          <w:sz w:val="32"/>
          <w:szCs w:val="32"/>
          <w:lang w:eastAsia="zh-CN"/>
        </w:rPr>
        <w:t>五</w:t>
      </w:r>
      <w:r>
        <w:rPr>
          <w:rFonts w:hint="eastAsia" w:ascii="仿宋_GB2312" w:eastAsia="仿宋_GB2312" w:cs="宋体" w:hAnsiTheme="minorEastAsia"/>
          <w:color w:val="000000" w:themeColor="text1"/>
          <w:kern w:val="0"/>
          <w:sz w:val="32"/>
          <w:szCs w:val="32"/>
        </w:rPr>
        <w:t>）20</w:t>
      </w:r>
      <w:r>
        <w:rPr>
          <w:rFonts w:hint="eastAsia" w:ascii="仿宋_GB2312" w:eastAsia="仿宋_GB2312" w:cs="宋体" w:hAnsiTheme="minorEastAsia"/>
          <w:color w:val="000000" w:themeColor="text1"/>
          <w:kern w:val="0"/>
          <w:sz w:val="32"/>
          <w:szCs w:val="32"/>
          <w:lang w:val="en-US" w:eastAsia="zh-CN"/>
        </w:rPr>
        <w:t>20或2021</w:t>
      </w:r>
      <w:r>
        <w:rPr>
          <w:rFonts w:hint="eastAsia" w:ascii="仿宋_GB2312" w:eastAsia="仿宋_GB2312" w:cs="宋体" w:hAnsiTheme="minorEastAsia"/>
          <w:color w:val="000000" w:themeColor="text1"/>
          <w:kern w:val="0"/>
          <w:sz w:val="32"/>
          <w:szCs w:val="32"/>
        </w:rPr>
        <w:t>年国内销售额证明</w:t>
      </w:r>
      <w:r>
        <w:rPr>
          <w:rFonts w:hint="eastAsia" w:ascii="仿宋_GB2312" w:eastAsia="仿宋_GB2312" w:cs="宋体" w:hAnsiTheme="minorEastAsia"/>
          <w:color w:val="000000" w:themeColor="text1"/>
          <w:kern w:val="0"/>
          <w:sz w:val="32"/>
          <w:szCs w:val="32"/>
          <w:lang w:eastAsia="zh-CN"/>
        </w:rPr>
        <w:t>，即经分团审核盖章的对应年度增值税纳税申报表，同时提交</w:t>
      </w:r>
      <w:r>
        <w:rPr>
          <w:rFonts w:hint="eastAsia" w:ascii="仿宋_GB2312" w:eastAsia="仿宋_GB2312" w:cs="宋体" w:hAnsiTheme="minorEastAsia"/>
          <w:color w:val="000000" w:themeColor="text1"/>
          <w:kern w:val="0"/>
          <w:sz w:val="32"/>
          <w:szCs w:val="32"/>
          <w:lang w:val="en-US" w:eastAsia="zh-CN"/>
        </w:rPr>
        <w:t>2020、2021年度证明的，取其高者作为安排依据（线下提交）。</w:t>
      </w:r>
    </w:p>
    <w:p>
      <w:pPr>
        <w:keepNext w:val="0"/>
        <w:keepLines w:val="0"/>
        <w:pageBreakBefore w:val="0"/>
        <w:widowControl/>
        <w:kinsoku/>
        <w:wordWrap/>
        <w:overflowPunct/>
        <w:topLinePunct w:val="0"/>
        <w:autoSpaceDE/>
        <w:autoSpaceDN/>
        <w:bidi w:val="0"/>
        <w:adjustRightInd/>
        <w:snapToGrid/>
        <w:spacing w:line="360" w:lineRule="auto"/>
        <w:ind w:firstLine="636" w:firstLineChars="199"/>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w:t>
      </w:r>
      <w:r>
        <w:rPr>
          <w:rFonts w:hint="eastAsia" w:ascii="仿宋_GB2312" w:eastAsia="仿宋_GB2312" w:cs="宋体" w:hAnsiTheme="minorEastAsia"/>
          <w:color w:val="000000" w:themeColor="text1"/>
          <w:kern w:val="0"/>
          <w:sz w:val="32"/>
          <w:szCs w:val="32"/>
          <w:lang w:eastAsia="zh-CN"/>
        </w:rPr>
        <w:t>六</w:t>
      </w:r>
      <w:r>
        <w:rPr>
          <w:rFonts w:hint="eastAsia" w:ascii="仿宋_GB2312" w:eastAsia="仿宋_GB2312" w:cs="宋体" w:hAnsiTheme="minorEastAsia"/>
          <w:color w:val="000000" w:themeColor="text1"/>
          <w:kern w:val="0"/>
          <w:sz w:val="32"/>
          <w:szCs w:val="32"/>
        </w:rPr>
        <w:t>）符合申请展区展品范围的产品介绍、图片，以及相关发明专利、境外商标、行业认证及境外专业展参展相关证明等</w:t>
      </w:r>
      <w:r>
        <w:rPr>
          <w:rFonts w:hint="eastAsia" w:ascii="仿宋_GB2312" w:eastAsia="仿宋_GB2312" w:cs="宋体" w:hAnsiTheme="minorEastAsia"/>
          <w:color w:val="000000" w:themeColor="text1"/>
          <w:kern w:val="0"/>
          <w:sz w:val="32"/>
          <w:szCs w:val="32"/>
          <w:lang w:eastAsia="zh-CN"/>
        </w:rPr>
        <w:t>（线上提交）</w:t>
      </w:r>
      <w:r>
        <w:rPr>
          <w:rFonts w:hint="eastAsia" w:ascii="仿宋_GB2312" w:eastAsia="仿宋_GB2312" w:cs="宋体" w:hAnsiTheme="minorEastAsia"/>
          <w:color w:val="000000" w:themeColor="text1"/>
          <w:kern w:val="0"/>
          <w:sz w:val="32"/>
          <w:szCs w:val="32"/>
        </w:rPr>
        <w:t>。</w:t>
      </w:r>
    </w:p>
    <w:p>
      <w:pPr>
        <w:keepNext w:val="0"/>
        <w:keepLines w:val="0"/>
        <w:pageBreakBefore w:val="0"/>
        <w:widowControl/>
        <w:kinsoku/>
        <w:wordWrap/>
        <w:overflowPunct/>
        <w:topLinePunct w:val="0"/>
        <w:autoSpaceDE/>
        <w:autoSpaceDN/>
        <w:bidi w:val="0"/>
        <w:adjustRightInd/>
        <w:snapToGrid/>
        <w:spacing w:line="360" w:lineRule="auto"/>
        <w:ind w:firstLine="636" w:firstLineChars="199"/>
        <w:jc w:val="both"/>
        <w:textAlignment w:val="auto"/>
        <w:rPr>
          <w:rFonts w:ascii="黑体" w:hAnsi="黑体" w:eastAsia="黑体" w:cs="宋体"/>
          <w:b w:val="0"/>
          <w:bCs w:val="0"/>
          <w:color w:val="000000" w:themeColor="text1"/>
          <w:kern w:val="0"/>
          <w:sz w:val="32"/>
          <w:szCs w:val="32"/>
        </w:rPr>
      </w:pPr>
      <w:r>
        <w:rPr>
          <w:rFonts w:hint="eastAsia" w:ascii="黑体" w:hAnsi="黑体" w:eastAsia="黑体" w:cs="宋体"/>
          <w:b w:val="0"/>
          <w:bCs w:val="0"/>
          <w:color w:val="000000" w:themeColor="text1"/>
          <w:kern w:val="0"/>
          <w:sz w:val="32"/>
          <w:szCs w:val="32"/>
        </w:rPr>
        <w:t>三、填报注意事项</w:t>
      </w:r>
    </w:p>
    <w:p>
      <w:pPr>
        <w:keepNext w:val="0"/>
        <w:keepLines w:val="0"/>
        <w:pageBreakBefore w:val="0"/>
        <w:widowControl/>
        <w:kinsoku/>
        <w:wordWrap/>
        <w:overflowPunct/>
        <w:topLinePunct w:val="0"/>
        <w:autoSpaceDE/>
        <w:autoSpaceDN/>
        <w:bidi w:val="0"/>
        <w:adjustRightInd/>
        <w:snapToGrid/>
        <w:spacing w:line="360" w:lineRule="auto"/>
        <w:ind w:firstLine="636" w:firstLineChars="199"/>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（一）新能源、宠物用品展区下设展品专区，并对不同专区设置不同的展位安排标准，请务必如实谨慎填报，具体为：</w:t>
      </w:r>
    </w:p>
    <w:p>
      <w:pPr>
        <w:keepNext w:val="0"/>
        <w:keepLines w:val="0"/>
        <w:pageBreakBefore w:val="0"/>
        <w:widowControl/>
        <w:kinsoku/>
        <w:wordWrap/>
        <w:overflowPunct/>
        <w:topLinePunct w:val="0"/>
        <w:autoSpaceDE/>
        <w:autoSpaceDN/>
        <w:bidi w:val="0"/>
        <w:adjustRightInd/>
        <w:snapToGrid/>
        <w:spacing w:line="360" w:lineRule="auto"/>
        <w:ind w:firstLine="636" w:firstLineChars="199"/>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新能源展区：太阳能光伏产品、太阳能光热产品、风能及其他新能源产品；</w:t>
      </w:r>
    </w:p>
    <w:p>
      <w:pPr>
        <w:keepNext w:val="0"/>
        <w:keepLines w:val="0"/>
        <w:pageBreakBefore w:val="0"/>
        <w:widowControl/>
        <w:kinsoku/>
        <w:wordWrap/>
        <w:overflowPunct/>
        <w:topLinePunct w:val="0"/>
        <w:autoSpaceDE/>
        <w:autoSpaceDN/>
        <w:bidi w:val="0"/>
        <w:adjustRightInd/>
        <w:snapToGrid/>
        <w:spacing w:line="360" w:lineRule="auto"/>
        <w:ind w:firstLine="636" w:firstLineChars="199"/>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宠物用品展区：宠物用品、宠物食品。</w:t>
      </w:r>
    </w:p>
    <w:p>
      <w:pPr>
        <w:keepNext w:val="0"/>
        <w:keepLines w:val="0"/>
        <w:pageBreakBefore w:val="0"/>
        <w:widowControl/>
        <w:kinsoku/>
        <w:wordWrap/>
        <w:overflowPunct/>
        <w:topLinePunct w:val="0"/>
        <w:autoSpaceDE/>
        <w:autoSpaceDN/>
        <w:bidi w:val="0"/>
        <w:adjustRightInd/>
        <w:snapToGrid/>
        <w:spacing w:line="360" w:lineRule="auto"/>
        <w:ind w:firstLine="636" w:firstLineChars="199"/>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（二）根据海关编码统计的出口额，是展位安排的重要参</w:t>
      </w:r>
      <w:bookmarkStart w:id="0" w:name="_GoBack"/>
      <w:bookmarkEnd w:id="0"/>
      <w:r>
        <w:rPr>
          <w:rFonts w:hint="eastAsia" w:ascii="仿宋_GB2312" w:eastAsia="仿宋_GB2312" w:cs="宋体" w:hAnsiTheme="minorEastAsia"/>
          <w:color w:val="000000" w:themeColor="text1"/>
          <w:kern w:val="0"/>
          <w:sz w:val="32"/>
          <w:szCs w:val="32"/>
        </w:rPr>
        <w:t>考标准。请按操作指引对企业海关编码进行确认，允许使用全资或控股子公司海关编码，但须同时提供相关股权关系证明，且该子公司不得再申请该展区展位。</w:t>
      </w:r>
    </w:p>
    <w:p>
      <w:pPr>
        <w:keepNext w:val="0"/>
        <w:keepLines w:val="0"/>
        <w:pageBreakBefore w:val="0"/>
        <w:widowControl/>
        <w:kinsoku/>
        <w:wordWrap/>
        <w:overflowPunct/>
        <w:topLinePunct w:val="0"/>
        <w:autoSpaceDE/>
        <w:autoSpaceDN/>
        <w:bidi w:val="0"/>
        <w:adjustRightInd/>
        <w:snapToGrid/>
        <w:spacing w:line="360" w:lineRule="auto"/>
        <w:ind w:firstLine="636" w:firstLineChars="199"/>
        <w:jc w:val="both"/>
        <w:textAlignment w:val="auto"/>
        <w:rPr>
          <w:rFonts w:ascii="黑体" w:hAnsi="黑体" w:eastAsia="黑体" w:cs="宋体"/>
          <w:b w:val="0"/>
          <w:bCs w:val="0"/>
          <w:color w:val="000000" w:themeColor="text1"/>
          <w:kern w:val="0"/>
          <w:sz w:val="32"/>
          <w:szCs w:val="32"/>
        </w:rPr>
      </w:pPr>
      <w:r>
        <w:rPr>
          <w:rFonts w:hint="eastAsia" w:ascii="黑体" w:hAnsi="黑体" w:eastAsia="黑体" w:cs="宋体"/>
          <w:b w:val="0"/>
          <w:bCs w:val="0"/>
          <w:color w:val="000000" w:themeColor="text1"/>
          <w:kern w:val="0"/>
          <w:sz w:val="32"/>
          <w:szCs w:val="32"/>
        </w:rPr>
        <w:t>四、退展位约束机制</w:t>
      </w:r>
    </w:p>
    <w:p>
      <w:pPr>
        <w:keepNext w:val="0"/>
        <w:keepLines w:val="0"/>
        <w:pageBreakBefore w:val="0"/>
        <w:widowControl/>
        <w:kinsoku/>
        <w:wordWrap/>
        <w:overflowPunct/>
        <w:topLinePunct w:val="0"/>
        <w:autoSpaceDE/>
        <w:autoSpaceDN/>
        <w:bidi w:val="0"/>
        <w:adjustRightInd/>
        <w:snapToGrid/>
        <w:spacing w:line="360" w:lineRule="auto"/>
        <w:ind w:firstLine="480"/>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（一）在新能源、宠物用品参展企业展位数量安排经公示后确定公布之日起，至对应展区展位位置安排公布的前一天退展位的，所退展位收取一半展位费；</w:t>
      </w:r>
    </w:p>
    <w:p>
      <w:pPr>
        <w:keepNext w:val="0"/>
        <w:keepLines w:val="0"/>
        <w:pageBreakBefore w:val="0"/>
        <w:widowControl/>
        <w:kinsoku/>
        <w:wordWrap/>
        <w:overflowPunct/>
        <w:topLinePunct w:val="0"/>
        <w:autoSpaceDE/>
        <w:autoSpaceDN/>
        <w:bidi w:val="0"/>
        <w:adjustRightInd/>
        <w:snapToGrid/>
        <w:spacing w:line="360" w:lineRule="auto"/>
        <w:ind w:firstLine="480"/>
        <w:jc w:val="both"/>
        <w:textAlignment w:val="auto"/>
        <w:rPr>
          <w:rFonts w:ascii="仿宋_GB2312" w:eastAsia="仿宋_GB2312" w:cs="宋体" w:hAnsiTheme="minorEastAsia"/>
          <w:color w:val="000000" w:themeColor="text1"/>
          <w:kern w:val="0"/>
          <w:sz w:val="32"/>
          <w:szCs w:val="32"/>
        </w:rPr>
      </w:pPr>
      <w:r>
        <w:rPr>
          <w:rFonts w:hint="eastAsia" w:ascii="仿宋_GB2312" w:eastAsia="仿宋_GB2312" w:cs="宋体" w:hAnsiTheme="minorEastAsia"/>
          <w:color w:val="000000" w:themeColor="text1"/>
          <w:kern w:val="0"/>
          <w:sz w:val="32"/>
          <w:szCs w:val="32"/>
        </w:rPr>
        <w:t>（二）在新能源、宠物用品展区展位位置安排公布之日起退展位的，所退展位仍收取全额展位费。</w:t>
      </w:r>
    </w:p>
    <w:sectPr>
      <w:footerReference r:id="rId3" w:type="default"/>
      <w:pgSz w:w="11906" w:h="16838"/>
      <w:pgMar w:top="1701" w:right="1587" w:bottom="1417" w:left="1701" w:header="7937" w:footer="794"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w:altName w:val="Nimbus Roman No9 L"/>
    <w:panose1 w:val="020B0604020202020204"/>
    <w:charset w:val="00"/>
    <w:family w:val="swiss"/>
    <w:pitch w:val="default"/>
    <w:sig w:usb0="00000000" w:usb1="00000000" w:usb2="00000009" w:usb3="00000000" w:csb0="000001FF"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40A32"/>
    <w:rsid w:val="0000387A"/>
    <w:rsid w:val="00076A19"/>
    <w:rsid w:val="000D615E"/>
    <w:rsid w:val="00140A32"/>
    <w:rsid w:val="00205048"/>
    <w:rsid w:val="00244E6C"/>
    <w:rsid w:val="002740E1"/>
    <w:rsid w:val="0027619E"/>
    <w:rsid w:val="0036099D"/>
    <w:rsid w:val="004D06E3"/>
    <w:rsid w:val="005D5DF9"/>
    <w:rsid w:val="0061362D"/>
    <w:rsid w:val="00635F49"/>
    <w:rsid w:val="00681534"/>
    <w:rsid w:val="006A6E8A"/>
    <w:rsid w:val="006E1B30"/>
    <w:rsid w:val="00711189"/>
    <w:rsid w:val="0077263F"/>
    <w:rsid w:val="007D72B3"/>
    <w:rsid w:val="008A34EB"/>
    <w:rsid w:val="008E37EB"/>
    <w:rsid w:val="00946B45"/>
    <w:rsid w:val="00967665"/>
    <w:rsid w:val="009D788C"/>
    <w:rsid w:val="00A11B33"/>
    <w:rsid w:val="00A2065E"/>
    <w:rsid w:val="00A93A66"/>
    <w:rsid w:val="00AB1E0C"/>
    <w:rsid w:val="00AF661D"/>
    <w:rsid w:val="00BA3052"/>
    <w:rsid w:val="00BB0FA2"/>
    <w:rsid w:val="00BF4270"/>
    <w:rsid w:val="00C20038"/>
    <w:rsid w:val="00C3329C"/>
    <w:rsid w:val="00CC61F7"/>
    <w:rsid w:val="00E24307"/>
    <w:rsid w:val="00E727B5"/>
    <w:rsid w:val="00EC679C"/>
    <w:rsid w:val="00EF0899"/>
    <w:rsid w:val="00F253BE"/>
    <w:rsid w:val="00FE6167"/>
    <w:rsid w:val="279D1988"/>
    <w:rsid w:val="3FBBDCFF"/>
    <w:rsid w:val="7FDBE60D"/>
    <w:rsid w:val="DCBCFD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1"/>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semiHidden/>
    <w:unhideWhenUsed/>
    <w:qFormat/>
    <w:uiPriority w:val="99"/>
    <w:rPr>
      <w:color w:val="333333"/>
      <w:u w:val="non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标题 4 字符"/>
    <w:basedOn w:val="6"/>
    <w:link w:val="2"/>
    <w:qFormat/>
    <w:uiPriority w:val="9"/>
    <w:rPr>
      <w:rFonts w:ascii="宋体" w:hAnsi="宋体" w:eastAsia="宋体" w:cs="宋体"/>
      <w:b/>
      <w:bCs/>
      <w:kern w:val="0"/>
      <w:sz w:val="24"/>
      <w:szCs w:val="24"/>
    </w:rPr>
  </w:style>
  <w:style w:type="paragraph" w:customStyle="1" w:styleId="12">
    <w:name w:val="tooba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183</Words>
  <Characters>1047</Characters>
  <Lines>8</Lines>
  <Paragraphs>2</Paragraphs>
  <TotalTime>7</TotalTime>
  <ScaleCrop>false</ScaleCrop>
  <LinksUpToDate>false</LinksUpToDate>
  <CharactersWithSpaces>1228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2017-05-05T11:10:00Z</dcterms:created>
  <dc:creator>djr</dc:creator>
  <cp:lastModifiedBy>user</cp:lastModifiedBy>
  <cp:lastPrinted>2017-05-11T11:50:00Z</cp:lastPrinted>
  <dcterms:modified xsi:type="dcterms:W3CDTF">2021-10-25T16:29:31Z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